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FC" w:rsidRDefault="00322AD4">
      <w:pPr>
        <w:framePr w:w="1622" w:h="714" w:hRule="exact" w:wrap="around" w:vAnchor="page" w:hAnchor="page" w:x="9406" w:y="15466"/>
        <w:shd w:val="solid" w:color="FFFFFF" w:fill="FFFFFF"/>
        <w:rPr>
          <w:sz w:val="14"/>
          <w:szCs w:val="14"/>
        </w:rPr>
      </w:pPr>
      <w:bookmarkStart w:id="0" w:name="Verbandsanmerkung2"/>
      <w:r>
        <w:rPr>
          <w:sz w:val="14"/>
          <w:szCs w:val="14"/>
        </w:rPr>
        <w:t>Mitglied im Handelsverband Deutschland e.V. (HDE)</w:t>
      </w:r>
      <w:bookmarkEnd w:id="0"/>
    </w:p>
    <w:p w:rsidR="00E32BFC" w:rsidRDefault="002325EC">
      <w:pPr>
        <w:framePr w:w="1622" w:h="714" w:hRule="exact" w:wrap="around" w:vAnchor="page" w:hAnchor="page" w:x="9406" w:y="15466"/>
        <w:shd w:val="solid" w:color="FFFFFF" w:fill="FFFFFF"/>
        <w:rPr>
          <w:vanish/>
          <w:sz w:val="16"/>
          <w:szCs w:val="16"/>
        </w:rPr>
      </w:pPr>
      <w:r>
        <w:rPr>
          <w:vanish/>
          <w:sz w:val="14"/>
          <w:szCs w:val="14"/>
        </w:rPr>
        <w:fldChar w:fldCharType="begin">
          <w:ffData>
            <w:name w:val="Verbandsanmerkung"/>
            <w:enabled w:val="0"/>
            <w:calcOnExit w:val="0"/>
            <w:ddList>
              <w:result w:val="3"/>
              <w:listEntry w:val="Mitglied im Handelsverband Deutschland e.V. (HDE)"/>
              <w:listEntry w:val="Mitglied im Handelsverband Deutschland e.V. (HDE)"/>
              <w:listEntry w:val="Mitglied im Handelsverband Deutschland e.V. (HDE)"/>
              <w:listEntry w:val="Mitglied im Handelsverband Deutschland e.V. (HDE)"/>
              <w:listEntry w:val="Mitglied im Handelsverband Deutschland e.V. (HDE)"/>
              <w:listEntry w:val=" "/>
              <w:listEntry w:val="Arbeitsgemeinschaft von Industrie und Handel"/>
              <w:listEntry w:val="Geschäftsführer:       Stefan Storch  Amtsgericht Köln       HRB 34677"/>
              <w:listEntry w:val="Geschäftsführer:       Stefan Storch  Amtsgericht Köln       HRB 34677"/>
            </w:ddList>
          </w:ffData>
        </w:fldChar>
      </w:r>
      <w:bookmarkStart w:id="1" w:name="Verbandsanmerkung"/>
      <w:r w:rsidR="00E32BFC">
        <w:rPr>
          <w:vanish/>
          <w:sz w:val="14"/>
          <w:szCs w:val="14"/>
        </w:rPr>
        <w:instrText xml:space="preserve"> FORMDROPDOWN </w:instrText>
      </w:r>
      <w:r w:rsidR="000042C3">
        <w:rPr>
          <w:vanish/>
          <w:sz w:val="14"/>
          <w:szCs w:val="14"/>
        </w:rPr>
      </w:r>
      <w:r w:rsidR="000042C3">
        <w:rPr>
          <w:vanish/>
          <w:sz w:val="14"/>
          <w:szCs w:val="14"/>
        </w:rPr>
        <w:fldChar w:fldCharType="separate"/>
      </w:r>
      <w:r>
        <w:rPr>
          <w:vanish/>
          <w:sz w:val="14"/>
          <w:szCs w:val="14"/>
        </w:rPr>
        <w:fldChar w:fldCharType="end"/>
      </w:r>
      <w:bookmarkEnd w:id="1"/>
    </w:p>
    <w:p w:rsidR="00E32BFC" w:rsidRDefault="00E32BFC">
      <w:pPr>
        <w:framePr w:w="2495" w:h="284" w:hRule="exact" w:wrap="around" w:vAnchor="page" w:hAnchor="page" w:x="9406" w:y="16186"/>
        <w:shd w:val="solid" w:color="FFFFFF" w:fill="FFFFFF"/>
      </w:pPr>
      <w:bookmarkStart w:id="2" w:name="LogofussPosition"/>
      <w:bookmarkEnd w:id="2"/>
    </w:p>
    <w:p w:rsidR="00E32BFC" w:rsidRPr="00640E28" w:rsidRDefault="0047235D">
      <w:pPr>
        <w:rPr>
          <w:b/>
          <w:bCs/>
          <w:sz w:val="36"/>
          <w:szCs w:val="14"/>
        </w:rPr>
      </w:pPr>
      <w:r w:rsidRPr="00640E28">
        <w:rPr>
          <w:b/>
          <w:bCs/>
          <w:sz w:val="36"/>
          <w:szCs w:val="12"/>
        </w:rPr>
        <w:lastRenderedPageBreak/>
        <w:t>Pressemitteilung</w:t>
      </w:r>
    </w:p>
    <w:p w:rsidR="00E32BFC" w:rsidRPr="00640E28" w:rsidRDefault="00E32BFC">
      <w:pPr>
        <w:jc w:val="both"/>
        <w:rPr>
          <w:sz w:val="22"/>
        </w:rPr>
      </w:pPr>
    </w:p>
    <w:p w:rsidR="00E32BFC" w:rsidRPr="00640E28" w:rsidRDefault="00E32BFC">
      <w:pPr>
        <w:jc w:val="both"/>
        <w:rPr>
          <w:sz w:val="22"/>
        </w:rPr>
        <w:sectPr w:rsidR="00E32BFC" w:rsidRPr="00640E28" w:rsidSect="005F3133">
          <w:headerReference w:type="even" r:id="rId7"/>
          <w:headerReference w:type="default" r:id="rId8"/>
          <w:headerReference w:type="first" r:id="rId9"/>
          <w:pgSz w:w="11906" w:h="16838" w:code="9"/>
          <w:pgMar w:top="1418" w:right="3266" w:bottom="1134" w:left="1304" w:header="709" w:footer="709" w:gutter="0"/>
          <w:paperSrc w:first="4" w:other="258"/>
          <w:cols w:space="708"/>
          <w:titlePg/>
          <w:docGrid w:linePitch="360"/>
        </w:sectPr>
      </w:pPr>
    </w:p>
    <w:p w:rsidR="00E32BFC" w:rsidRPr="00640E28" w:rsidRDefault="003B28ED" w:rsidP="00224CB7">
      <w:pPr>
        <w:framePr w:w="1848" w:h="2581" w:hRule="exact" w:wrap="around" w:vAnchor="page" w:hAnchor="page" w:x="9753" w:y="5671"/>
        <w:rPr>
          <w:sz w:val="16"/>
          <w:szCs w:val="16"/>
        </w:rPr>
      </w:pPr>
      <w:bookmarkStart w:id="3" w:name="AktDatum"/>
      <w:r>
        <w:rPr>
          <w:sz w:val="16"/>
          <w:szCs w:val="16"/>
        </w:rPr>
        <w:t>10. Februar 2017</w:t>
      </w:r>
    </w:p>
    <w:bookmarkEnd w:id="3"/>
    <w:p w:rsidR="00224CB7" w:rsidRDefault="00224CB7" w:rsidP="00224CB7">
      <w:pPr>
        <w:framePr w:w="1848" w:h="2581" w:hRule="exact" w:wrap="around" w:vAnchor="page" w:hAnchor="page" w:x="9753" w:y="5671"/>
        <w:rPr>
          <w:sz w:val="12"/>
          <w:szCs w:val="12"/>
        </w:rPr>
      </w:pPr>
    </w:p>
    <w:p w:rsidR="00224CB7" w:rsidRPr="00640E28" w:rsidRDefault="00224CB7" w:rsidP="00224CB7">
      <w:pPr>
        <w:framePr w:w="1848" w:h="2581" w:hRule="exact" w:wrap="around" w:vAnchor="page" w:hAnchor="page" w:x="9753" w:y="5671"/>
        <w:rPr>
          <w:sz w:val="12"/>
          <w:szCs w:val="12"/>
        </w:rPr>
      </w:pPr>
      <w:bookmarkStart w:id="4" w:name="LogoHBS"/>
      <w:bookmarkEnd w:id="4"/>
    </w:p>
    <w:p w:rsidR="00322AD4" w:rsidRDefault="00322AD4" w:rsidP="00322AD4">
      <w:pPr>
        <w:framePr w:w="60" w:h="256" w:hRule="exact" w:wrap="around" w:vAnchor="page" w:hAnchor="page" w:x="10006" w:y="2326"/>
        <w:spacing w:before="120"/>
        <w:rPr>
          <w:b/>
          <w:sz w:val="16"/>
          <w:szCs w:val="16"/>
        </w:rPr>
      </w:pPr>
      <w:r>
        <w:rPr>
          <w:noProof/>
        </w:rPr>
        <w:drawing>
          <wp:anchor distT="0" distB="0" distL="114935" distR="114935" simplePos="0" relativeHeight="251660288" behindDoc="0" locked="1" layoutInCell="0" allowOverlap="1">
            <wp:simplePos x="0" y="0"/>
            <wp:positionH relativeFrom="page">
              <wp:posOffset>4961255</wp:posOffset>
            </wp:positionH>
            <wp:positionV relativeFrom="page">
              <wp:posOffset>660400</wp:posOffset>
            </wp:positionV>
            <wp:extent cx="2066925" cy="571500"/>
            <wp:effectExtent l="19050" t="0" r="9525" b="0"/>
            <wp:wrapNone/>
            <wp:docPr id="4" name="Bild 4" descr="T:\VORLAGEN\Logos\GPK\GPK_LOGO_2016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VORLAGEN\Logos\GPK\GPK_LOGO_2016_RGB.jpg"/>
                    <pic:cNvPicPr>
                      <a:picLocks noChangeAspect="1" noChangeArrowheads="1"/>
                    </pic:cNvPicPr>
                  </pic:nvPicPr>
                  <pic:blipFill>
                    <a:blip r:embed="rId10" cstate="print"/>
                    <a:srcRect/>
                    <a:stretch>
                      <a:fillRect/>
                    </a:stretch>
                  </pic:blipFill>
                  <pic:spPr bwMode="auto">
                    <a:xfrm>
                      <a:off x="0" y="0"/>
                      <a:ext cx="2066925" cy="571500"/>
                    </a:xfrm>
                    <a:prstGeom prst="rect">
                      <a:avLst/>
                    </a:prstGeom>
                    <a:noFill/>
                    <a:ln w="9525">
                      <a:noFill/>
                      <a:miter lim="800000"/>
                      <a:headEnd/>
                      <a:tailEnd/>
                    </a:ln>
                  </pic:spPr>
                </pic:pic>
              </a:graphicData>
            </a:graphic>
          </wp:anchor>
        </w:drawing>
      </w:r>
    </w:p>
    <w:p w:rsidR="00322AD4" w:rsidRDefault="002325EC" w:rsidP="00322AD4">
      <w:pPr>
        <w:framePr w:w="60" w:h="256" w:hRule="exact" w:wrap="around" w:vAnchor="page" w:hAnchor="page" w:x="10006" w:y="2326"/>
        <w:spacing w:before="120"/>
        <w:rPr>
          <w:sz w:val="14"/>
          <w:szCs w:val="14"/>
        </w:rPr>
      </w:pPr>
      <w:r>
        <w:rPr>
          <w:vanish/>
          <w:sz w:val="16"/>
          <w:szCs w:val="16"/>
        </w:rPr>
        <w:fldChar w:fldCharType="begin">
          <w:ffData>
            <w:name w:val="Verbandszusatz1"/>
            <w:enabled w:val="0"/>
            <w:calcOnExit w:val="0"/>
            <w:ddList>
              <w:result w:val="3"/>
              <w:listEntry w:val=" "/>
              <w:listEntry w:val="im Bundesverband Wohnen und Büro e.V. (BWB)"/>
              <w:listEntry w:val="im Bundesverband Wohnen und Büro e.V. (BWB)"/>
              <w:listEntry w:val=" "/>
              <w:listEntry w:val="im Bundesverband Wohnen und Büro e.V. (BWB)"/>
              <w:listEntry w:val=" "/>
              <w:listEntry w:val=" "/>
              <w:listEntry w:val=" "/>
              <w:listEntry w:val=" "/>
            </w:ddList>
          </w:ffData>
        </w:fldChar>
      </w:r>
      <w:bookmarkStart w:id="5" w:name="Verbandszusatz1"/>
      <w:r w:rsidR="00322AD4">
        <w:rPr>
          <w:vanish/>
          <w:sz w:val="16"/>
          <w:szCs w:val="16"/>
        </w:rPr>
        <w:instrText xml:space="preserve"> FORMDROPDOWN </w:instrText>
      </w:r>
      <w:r w:rsidR="000042C3">
        <w:rPr>
          <w:vanish/>
          <w:sz w:val="16"/>
          <w:szCs w:val="16"/>
        </w:rPr>
      </w:r>
      <w:r w:rsidR="000042C3">
        <w:rPr>
          <w:vanish/>
          <w:sz w:val="16"/>
          <w:szCs w:val="16"/>
        </w:rPr>
        <w:fldChar w:fldCharType="separate"/>
      </w:r>
      <w:r>
        <w:rPr>
          <w:vanish/>
          <w:sz w:val="16"/>
          <w:szCs w:val="16"/>
        </w:rPr>
        <w:fldChar w:fldCharType="end"/>
      </w:r>
      <w:bookmarkStart w:id="6" w:name="Verbandszusatz12"/>
      <w:bookmarkEnd w:id="5"/>
      <w:r w:rsidR="00322AD4">
        <w:rPr>
          <w:sz w:val="14"/>
          <w:szCs w:val="14"/>
        </w:rPr>
        <w:t xml:space="preserve"> </w:t>
      </w:r>
      <w:bookmarkEnd w:id="6"/>
    </w:p>
    <w:p w:rsidR="00E32BFC" w:rsidRPr="00640E28" w:rsidRDefault="00E32BFC">
      <w:pPr>
        <w:jc w:val="both"/>
        <w:rPr>
          <w:sz w:val="22"/>
        </w:rPr>
      </w:pPr>
    </w:p>
    <w:p w:rsidR="00E32BFC" w:rsidRPr="00640E28" w:rsidRDefault="00E32BFC">
      <w:pPr>
        <w:jc w:val="both"/>
        <w:rPr>
          <w:sz w:val="22"/>
        </w:rPr>
        <w:sectPr w:rsidR="00E32BFC" w:rsidRPr="00640E28" w:rsidSect="00900143">
          <w:type w:val="continuous"/>
          <w:pgSz w:w="11906" w:h="16838" w:code="9"/>
          <w:pgMar w:top="1418" w:right="3266" w:bottom="1134" w:left="1304" w:header="709" w:footer="709" w:gutter="0"/>
          <w:paperSrc w:first="4" w:other="258"/>
          <w:cols w:space="708"/>
          <w:docGrid w:linePitch="360"/>
        </w:sectPr>
      </w:pPr>
    </w:p>
    <w:p w:rsidR="0047235D" w:rsidRPr="00344B10" w:rsidRDefault="00344B10" w:rsidP="0047235D">
      <w:pPr>
        <w:rPr>
          <w:b/>
          <w:bCs/>
          <w:sz w:val="28"/>
        </w:rPr>
      </w:pPr>
      <w:bookmarkStart w:id="7" w:name="Inhalt"/>
      <w:bookmarkEnd w:id="7"/>
      <w:r w:rsidRPr="00344B10">
        <w:rPr>
          <w:b/>
          <w:bCs/>
          <w:sz w:val="28"/>
        </w:rPr>
        <w:lastRenderedPageBreak/>
        <w:t xml:space="preserve">Hausrat, Tisch- und Küchenausstattung und Elektrogeräte </w:t>
      </w:r>
      <w:r>
        <w:rPr>
          <w:b/>
          <w:bCs/>
          <w:sz w:val="28"/>
        </w:rPr>
        <w:t>weiterhin begehrt</w:t>
      </w:r>
    </w:p>
    <w:p w:rsidR="00322AD4" w:rsidRPr="00344B10" w:rsidRDefault="00322AD4" w:rsidP="00322AD4">
      <w:pPr>
        <w:framePr w:w="1814" w:h="2416" w:hRule="exact" w:wrap="around" w:vAnchor="page" w:hAnchor="page" w:x="9781" w:y="2941"/>
        <w:rPr>
          <w:sz w:val="14"/>
          <w:szCs w:val="14"/>
        </w:rPr>
      </w:pPr>
      <w:r w:rsidRPr="00344B10">
        <w:rPr>
          <w:sz w:val="14"/>
          <w:szCs w:val="14"/>
        </w:rPr>
        <w:t>Handelsverband Koch- und Tischkultur (GPK)</w:t>
      </w:r>
    </w:p>
    <w:p w:rsidR="00322AD4" w:rsidRPr="00344B10" w:rsidRDefault="002325EC" w:rsidP="00322AD4">
      <w:pPr>
        <w:framePr w:w="1814" w:h="2416" w:hRule="exact" w:wrap="around" w:vAnchor="page" w:hAnchor="page" w:x="9781" w:y="2941"/>
        <w:rPr>
          <w:sz w:val="14"/>
          <w:szCs w:val="14"/>
        </w:rPr>
      </w:pPr>
      <w:r w:rsidRPr="00344B10">
        <w:rPr>
          <w:sz w:val="14"/>
          <w:szCs w:val="14"/>
        </w:rPr>
        <w:fldChar w:fldCharType="begin">
          <w:ffData>
            <w:name w:val="Verbandsstrasse"/>
            <w:enabled w:val="0"/>
            <w:calcOnExit w:val="0"/>
            <w:ddList>
              <w:result w:val="3"/>
              <w:listEntry w:val="Frangenheimstr. 6"/>
              <w:listEntry w:val="Frangenheimstr. 6"/>
              <w:listEntry w:val="Frangenheimstr. 6"/>
              <w:listEntry w:val="Frangenheimstr. 6"/>
              <w:listEntry w:val="Frangenheimstr. 6"/>
              <w:listEntry w:val="Frangenheimstr. 6"/>
              <w:listEntry w:val="Frangenheimstr. 6"/>
              <w:listEntry w:val="Frangenheimstr. 6"/>
              <w:listEntry w:val="Frangenheimstr. 6"/>
            </w:ddList>
          </w:ffData>
        </w:fldChar>
      </w:r>
      <w:r w:rsidR="00322AD4" w:rsidRPr="00344B10">
        <w:rPr>
          <w:sz w:val="14"/>
          <w:szCs w:val="14"/>
        </w:rPr>
        <w:instrText xml:space="preserve"> FORMDROPDOWN </w:instrText>
      </w:r>
      <w:r w:rsidR="000042C3">
        <w:rPr>
          <w:sz w:val="14"/>
          <w:szCs w:val="14"/>
        </w:rPr>
      </w:r>
      <w:r w:rsidR="000042C3">
        <w:rPr>
          <w:sz w:val="14"/>
          <w:szCs w:val="14"/>
        </w:rPr>
        <w:fldChar w:fldCharType="separate"/>
      </w:r>
      <w:r w:rsidRPr="00344B10">
        <w:rPr>
          <w:sz w:val="14"/>
          <w:szCs w:val="14"/>
        </w:rPr>
        <w:fldChar w:fldCharType="end"/>
      </w:r>
    </w:p>
    <w:p w:rsidR="00322AD4" w:rsidRPr="00344B10" w:rsidRDefault="002325EC" w:rsidP="00322AD4">
      <w:pPr>
        <w:framePr w:w="1814" w:h="2416" w:hRule="exact" w:wrap="around" w:vAnchor="page" w:hAnchor="page" w:x="9781" w:y="2941"/>
        <w:rPr>
          <w:sz w:val="14"/>
          <w:szCs w:val="14"/>
        </w:rPr>
      </w:pPr>
      <w:r w:rsidRPr="00344B10">
        <w:rPr>
          <w:sz w:val="14"/>
          <w:szCs w:val="14"/>
        </w:rPr>
        <w:fldChar w:fldCharType="begin">
          <w:ffData>
            <w:name w:val="Verbandsplzort"/>
            <w:enabled w:val="0"/>
            <w:calcOnExit w:val="0"/>
            <w:ddList>
              <w:result w:val="3"/>
              <w:listEntry w:val="50931 Köln"/>
              <w:listEntry w:val="50931 Köln"/>
              <w:listEntry w:val="50931 Köln"/>
              <w:listEntry w:val="50931 Köln"/>
              <w:listEntry w:val="50931 Köln"/>
              <w:listEntry w:val="50931 Köln"/>
              <w:listEntry w:val="50931 Köln"/>
              <w:listEntry w:val="50931 Köln"/>
              <w:listEntry w:val="50931 Köln"/>
            </w:ddList>
          </w:ffData>
        </w:fldChar>
      </w:r>
      <w:r w:rsidR="00322AD4" w:rsidRPr="00344B10">
        <w:rPr>
          <w:sz w:val="14"/>
          <w:szCs w:val="14"/>
        </w:rPr>
        <w:instrText xml:space="preserve"> FORMDROPDOWN </w:instrText>
      </w:r>
      <w:r w:rsidR="000042C3">
        <w:rPr>
          <w:sz w:val="14"/>
          <w:szCs w:val="14"/>
        </w:rPr>
      </w:r>
      <w:r w:rsidR="000042C3">
        <w:rPr>
          <w:sz w:val="14"/>
          <w:szCs w:val="14"/>
        </w:rPr>
        <w:fldChar w:fldCharType="separate"/>
      </w:r>
      <w:r w:rsidRPr="00344B10">
        <w:rPr>
          <w:sz w:val="14"/>
          <w:szCs w:val="14"/>
        </w:rPr>
        <w:fldChar w:fldCharType="end"/>
      </w:r>
    </w:p>
    <w:p w:rsidR="00322AD4" w:rsidRPr="00344B10" w:rsidRDefault="00322AD4" w:rsidP="00322AD4">
      <w:pPr>
        <w:framePr w:w="1814" w:h="2416" w:hRule="exact" w:wrap="around" w:vAnchor="page" w:hAnchor="page" w:x="9781" w:y="2941"/>
        <w:spacing w:before="120"/>
        <w:rPr>
          <w:sz w:val="14"/>
          <w:szCs w:val="14"/>
        </w:rPr>
      </w:pPr>
      <w:r w:rsidRPr="00344B10">
        <w:rPr>
          <w:sz w:val="14"/>
          <w:szCs w:val="14"/>
        </w:rPr>
        <w:t xml:space="preserve">Tel. </w:t>
      </w:r>
      <w:r w:rsidR="002325EC" w:rsidRPr="00344B10">
        <w:rPr>
          <w:sz w:val="14"/>
          <w:szCs w:val="14"/>
        </w:rPr>
        <w:fldChar w:fldCharType="begin">
          <w:ffData>
            <w:name w:val="Verbandstel"/>
            <w:enabled w:val="0"/>
            <w:calcOnExit w:val="0"/>
            <w:ddList>
              <w:result w:val="3"/>
              <w:listEntry w:val="0221.940 83.30"/>
              <w:listEntry w:val="0221.940 83.30"/>
              <w:listEntry w:val="0221.940 83.50"/>
              <w:listEntry w:val="0221.940 83.20"/>
              <w:listEntry w:val="0221.940 83.60"/>
              <w:listEntry w:val="0221.940 83.30"/>
              <w:listEntry w:val="0221.940 83.30"/>
              <w:listEntry w:val="0221.940 83.23"/>
              <w:listEntry w:val="0221.940 83.20"/>
            </w:ddList>
          </w:ffData>
        </w:fldChar>
      </w:r>
      <w:r w:rsidRPr="00344B10">
        <w:rPr>
          <w:sz w:val="14"/>
          <w:szCs w:val="14"/>
        </w:rPr>
        <w:instrText xml:space="preserve"> FORMDROPDOWN </w:instrText>
      </w:r>
      <w:r w:rsidR="000042C3">
        <w:rPr>
          <w:sz w:val="14"/>
          <w:szCs w:val="14"/>
        </w:rPr>
      </w:r>
      <w:r w:rsidR="000042C3">
        <w:rPr>
          <w:sz w:val="14"/>
          <w:szCs w:val="14"/>
        </w:rPr>
        <w:fldChar w:fldCharType="separate"/>
      </w:r>
      <w:r w:rsidR="002325EC" w:rsidRPr="00344B10">
        <w:rPr>
          <w:sz w:val="14"/>
          <w:szCs w:val="14"/>
        </w:rPr>
        <w:fldChar w:fldCharType="end"/>
      </w:r>
    </w:p>
    <w:p w:rsidR="00322AD4" w:rsidRPr="00344B10" w:rsidRDefault="00322AD4" w:rsidP="00322AD4">
      <w:pPr>
        <w:framePr w:w="1814" w:h="2416" w:hRule="exact" w:wrap="around" w:vAnchor="page" w:hAnchor="page" w:x="9781" w:y="2941"/>
        <w:rPr>
          <w:sz w:val="14"/>
          <w:szCs w:val="14"/>
        </w:rPr>
      </w:pPr>
      <w:r w:rsidRPr="00344B10">
        <w:rPr>
          <w:sz w:val="14"/>
          <w:szCs w:val="14"/>
        </w:rPr>
        <w:t xml:space="preserve">Fax </w:t>
      </w:r>
      <w:r w:rsidR="002325EC" w:rsidRPr="00344B10">
        <w:rPr>
          <w:sz w:val="14"/>
          <w:szCs w:val="14"/>
        </w:rPr>
        <w:fldChar w:fldCharType="begin">
          <w:ffData>
            <w:name w:val="Verbandsfax"/>
            <w:enabled w:val="0"/>
            <w:calcOnExit w:val="0"/>
            <w:ddList>
              <w:result w:val="3"/>
              <w:listEntry w:val="0221.940 83.90"/>
              <w:listEntry w:val="0221.940 83.90"/>
              <w:listEntry w:val="0221.940 83.90"/>
              <w:listEntry w:val="0221.940 83.90"/>
              <w:listEntry w:val="0221.940 83.90"/>
              <w:listEntry w:val="0221.940 83.90"/>
              <w:listEntry w:val="0221.940 83.90"/>
              <w:listEntry w:val="0221.940 83.90"/>
              <w:listEntry w:val="0221.940 83.90"/>
            </w:ddList>
          </w:ffData>
        </w:fldChar>
      </w:r>
      <w:r w:rsidRPr="00344B10">
        <w:rPr>
          <w:sz w:val="14"/>
          <w:szCs w:val="14"/>
        </w:rPr>
        <w:instrText xml:space="preserve"> FORMDROPDOWN </w:instrText>
      </w:r>
      <w:r w:rsidR="000042C3">
        <w:rPr>
          <w:sz w:val="14"/>
          <w:szCs w:val="14"/>
        </w:rPr>
      </w:r>
      <w:r w:rsidR="000042C3">
        <w:rPr>
          <w:sz w:val="14"/>
          <w:szCs w:val="14"/>
        </w:rPr>
        <w:fldChar w:fldCharType="separate"/>
      </w:r>
      <w:r w:rsidR="002325EC" w:rsidRPr="00344B10">
        <w:rPr>
          <w:sz w:val="14"/>
          <w:szCs w:val="14"/>
        </w:rPr>
        <w:fldChar w:fldCharType="end"/>
      </w:r>
    </w:p>
    <w:p w:rsidR="00322AD4" w:rsidRPr="00344B10" w:rsidRDefault="002325EC" w:rsidP="00322AD4">
      <w:pPr>
        <w:framePr w:w="1814" w:h="2416" w:hRule="exact" w:wrap="around" w:vAnchor="page" w:hAnchor="page" w:x="9781" w:y="2941"/>
        <w:spacing w:before="120"/>
        <w:rPr>
          <w:sz w:val="14"/>
          <w:szCs w:val="14"/>
        </w:rPr>
      </w:pPr>
      <w:r w:rsidRPr="00344B10">
        <w:rPr>
          <w:sz w:val="14"/>
          <w:szCs w:val="14"/>
        </w:rPr>
        <w:fldChar w:fldCharType="begin">
          <w:ffData>
            <w:name w:val="Verbandsmail"/>
            <w:enabled w:val="0"/>
            <w:calcOnExit w:val="0"/>
            <w:ddList>
              <w:result w:val="3"/>
              <w:listEntry w:val="bwb@einzelhandel.de"/>
              <w:listEntry w:val="hbs@wohnenundbuero.de"/>
              <w:listEntry w:val="bvdm@einzelhandel.de"/>
              <w:listEntry w:val="gpk@einzelhandel.de"/>
              <w:listEntry w:val="bft@einzelhandel.de"/>
              <w:listEntry w:val=" "/>
              <w:listEntry w:val="hbs@wohnenundbuero.de"/>
              <w:listEntry w:val="gpk@einzelhandel.de"/>
              <w:listEntry w:val="gpk@einzelhandel.de"/>
            </w:ddList>
          </w:ffData>
        </w:fldChar>
      </w:r>
      <w:r w:rsidR="00322AD4" w:rsidRPr="00344B10">
        <w:rPr>
          <w:sz w:val="14"/>
          <w:szCs w:val="14"/>
        </w:rPr>
        <w:instrText xml:space="preserve"> FORMDROPDOWN </w:instrText>
      </w:r>
      <w:r w:rsidR="000042C3">
        <w:rPr>
          <w:sz w:val="14"/>
          <w:szCs w:val="14"/>
        </w:rPr>
      </w:r>
      <w:r w:rsidR="000042C3">
        <w:rPr>
          <w:sz w:val="14"/>
          <w:szCs w:val="14"/>
        </w:rPr>
        <w:fldChar w:fldCharType="separate"/>
      </w:r>
      <w:r w:rsidRPr="00344B10">
        <w:rPr>
          <w:sz w:val="14"/>
          <w:szCs w:val="14"/>
        </w:rPr>
        <w:fldChar w:fldCharType="end"/>
      </w:r>
    </w:p>
    <w:p w:rsidR="00322AD4" w:rsidRPr="00344B10" w:rsidRDefault="002325EC" w:rsidP="00322AD4">
      <w:pPr>
        <w:framePr w:w="1814" w:h="2416" w:hRule="exact" w:wrap="around" w:vAnchor="page" w:hAnchor="page" w:x="9781" w:y="2941"/>
        <w:rPr>
          <w:sz w:val="14"/>
          <w:szCs w:val="14"/>
        </w:rPr>
      </w:pPr>
      <w:r w:rsidRPr="00344B10">
        <w:rPr>
          <w:sz w:val="14"/>
          <w:szCs w:val="14"/>
        </w:rPr>
        <w:fldChar w:fldCharType="begin">
          <w:ffData>
            <w:name w:val="Verbandswww"/>
            <w:enabled w:val="0"/>
            <w:calcOnExit w:val="0"/>
            <w:ddList>
              <w:result w:val="3"/>
              <w:listEntry w:val=" "/>
              <w:listEntry w:val="www.wohnenundbuero.de"/>
              <w:listEntry w:val="www.moebelhandel.org"/>
              <w:listEntry w:val="www.gpk-online.de"/>
              <w:listEntry w:val="www.farbenverband.de"/>
              <w:listEntry w:val=" "/>
              <w:listEntry w:val="www.wohnenundbuero.de"/>
              <w:listEntry w:val="www.gpk-online.de"/>
              <w:listEntry w:val="www.gpk-online.de"/>
            </w:ddList>
          </w:ffData>
        </w:fldChar>
      </w:r>
      <w:r w:rsidR="00322AD4" w:rsidRPr="00344B10">
        <w:rPr>
          <w:sz w:val="14"/>
          <w:szCs w:val="14"/>
        </w:rPr>
        <w:instrText xml:space="preserve"> FORMDROPDOWN </w:instrText>
      </w:r>
      <w:r w:rsidR="000042C3">
        <w:rPr>
          <w:sz w:val="14"/>
          <w:szCs w:val="14"/>
        </w:rPr>
      </w:r>
      <w:r w:rsidR="000042C3">
        <w:rPr>
          <w:sz w:val="14"/>
          <w:szCs w:val="14"/>
        </w:rPr>
        <w:fldChar w:fldCharType="separate"/>
      </w:r>
      <w:r w:rsidRPr="00344B10">
        <w:rPr>
          <w:sz w:val="14"/>
          <w:szCs w:val="14"/>
        </w:rPr>
        <w:fldChar w:fldCharType="end"/>
      </w:r>
    </w:p>
    <w:p w:rsidR="00322AD4" w:rsidRPr="00344B10" w:rsidRDefault="002325EC" w:rsidP="00322AD4">
      <w:pPr>
        <w:framePr w:w="1814" w:h="2416" w:hRule="exact" w:wrap="around" w:vAnchor="page" w:hAnchor="page" w:x="9781" w:y="2941"/>
        <w:spacing w:before="120"/>
        <w:rPr>
          <w:b/>
          <w:sz w:val="14"/>
          <w:szCs w:val="14"/>
        </w:rPr>
      </w:pPr>
      <w:r w:rsidRPr="00344B10">
        <w:rPr>
          <w:b/>
          <w:sz w:val="14"/>
          <w:szCs w:val="14"/>
        </w:rPr>
        <w:fldChar w:fldCharType="begin">
          <w:ffData>
            <w:name w:val="Personname"/>
            <w:enabled/>
            <w:calcOnExit w:val="0"/>
            <w:exitMacro w:val="OnExitPersonname"/>
            <w:ddList>
              <w:listEntry w:val="Thomas Grothkopp"/>
              <w:listEntry w:val="André F. Kunz"/>
              <w:listEntry w:val="Volker Wessels"/>
              <w:listEntry w:val="Doris Pietrowicz"/>
              <w:listEntry w:val="Natalie Albrecht"/>
              <w:listEntry w:val="Nora Rabah"/>
              <w:listEntry w:val="Cathrin Klitzsch"/>
              <w:listEntry w:val="Rosemarie Jüttemann"/>
              <w:listEntry w:val="Kathrin Schnabel"/>
              <w:listEntry w:val="Imke Ide"/>
              <w:listEntry w:val="Thomas Schnabel"/>
              <w:listEntry w:val="Stefan Storch"/>
            </w:ddList>
          </w:ffData>
        </w:fldChar>
      </w:r>
      <w:r w:rsidR="00322AD4" w:rsidRPr="00344B10">
        <w:rPr>
          <w:b/>
          <w:sz w:val="14"/>
          <w:szCs w:val="14"/>
        </w:rPr>
        <w:instrText xml:space="preserve"> FORMDROPDOWN </w:instrText>
      </w:r>
      <w:r w:rsidR="000042C3">
        <w:rPr>
          <w:b/>
          <w:sz w:val="14"/>
          <w:szCs w:val="14"/>
        </w:rPr>
      </w:r>
      <w:r w:rsidR="000042C3">
        <w:rPr>
          <w:b/>
          <w:sz w:val="14"/>
          <w:szCs w:val="14"/>
        </w:rPr>
        <w:fldChar w:fldCharType="separate"/>
      </w:r>
      <w:r w:rsidRPr="00344B10">
        <w:rPr>
          <w:b/>
          <w:sz w:val="14"/>
          <w:szCs w:val="14"/>
        </w:rPr>
        <w:fldChar w:fldCharType="end"/>
      </w:r>
    </w:p>
    <w:p w:rsidR="00322AD4" w:rsidRPr="00344B10" w:rsidRDefault="00322AD4" w:rsidP="00322AD4">
      <w:pPr>
        <w:framePr w:w="1814" w:h="2416" w:hRule="exact" w:wrap="around" w:vAnchor="page" w:hAnchor="page" w:x="9781" w:y="2941"/>
        <w:rPr>
          <w:sz w:val="14"/>
          <w:szCs w:val="14"/>
        </w:rPr>
      </w:pPr>
      <w:r w:rsidRPr="00344B10">
        <w:rPr>
          <w:sz w:val="14"/>
          <w:szCs w:val="14"/>
        </w:rPr>
        <w:t xml:space="preserve">Tel. </w:t>
      </w:r>
      <w:r w:rsidR="002325EC" w:rsidRPr="00344B10">
        <w:rPr>
          <w:sz w:val="14"/>
          <w:szCs w:val="14"/>
        </w:rPr>
        <w:fldChar w:fldCharType="begin">
          <w:ffData>
            <w:name w:val="Persontel"/>
            <w:enabled w:val="0"/>
            <w:calcOnExit w:val="0"/>
            <w:ddList>
              <w:listEntry w:val="0221.940 83.40"/>
              <w:listEntry w:val="0221.940 83.51"/>
              <w:listEntry w:val="0221.940 83.31"/>
              <w:listEntry w:val="0221.940 83.30"/>
              <w:listEntry w:val="0221.940 83.50"/>
              <w:listEntry w:val="0221.940 83.30"/>
              <w:listEntry w:val="0221.940 83.20"/>
              <w:listEntry w:val="0221.940 83.20"/>
              <w:listEntry w:val="0221.940 83.23"/>
              <w:listEntry w:val="0221.940 83.60"/>
              <w:listEntry w:val="0221.940 83.31"/>
            </w:ddList>
          </w:ffData>
        </w:fldChar>
      </w:r>
      <w:r w:rsidRPr="00344B10">
        <w:rPr>
          <w:sz w:val="14"/>
          <w:szCs w:val="14"/>
        </w:rPr>
        <w:instrText xml:space="preserve"> FORMDROPDOWN </w:instrText>
      </w:r>
      <w:r w:rsidR="000042C3">
        <w:rPr>
          <w:sz w:val="14"/>
          <w:szCs w:val="14"/>
        </w:rPr>
      </w:r>
      <w:r w:rsidR="000042C3">
        <w:rPr>
          <w:sz w:val="14"/>
          <w:szCs w:val="14"/>
        </w:rPr>
        <w:fldChar w:fldCharType="separate"/>
      </w:r>
      <w:r w:rsidR="002325EC" w:rsidRPr="00344B10">
        <w:rPr>
          <w:sz w:val="14"/>
          <w:szCs w:val="14"/>
        </w:rPr>
        <w:fldChar w:fldCharType="end"/>
      </w:r>
    </w:p>
    <w:p w:rsidR="00322AD4" w:rsidRPr="00344B10" w:rsidRDefault="002325EC" w:rsidP="00322AD4">
      <w:pPr>
        <w:framePr w:w="1814" w:h="2416" w:hRule="exact" w:wrap="around" w:vAnchor="page" w:hAnchor="page" w:x="9781" w:y="2941"/>
        <w:rPr>
          <w:sz w:val="14"/>
          <w:szCs w:val="14"/>
        </w:rPr>
      </w:pPr>
      <w:r w:rsidRPr="00344B10">
        <w:rPr>
          <w:vanish/>
          <w:sz w:val="14"/>
          <w:szCs w:val="14"/>
        </w:rPr>
        <w:fldChar w:fldCharType="begin">
          <w:ffData>
            <w:name w:val="Personmail"/>
            <w:enabled w:val="0"/>
            <w:calcOnExit w:val="0"/>
            <w:ddList>
              <w:listEntry w:val="thomas.grothkopp@einzelhandel.de"/>
              <w:listEntry w:val="andre.kunz@einzelhandel.de"/>
              <w:listEntry w:val="volker.wessels@wohnenundbuero.de"/>
              <w:listEntry w:val="doris.pietrowicz@einzelhandel.de"/>
              <w:listEntry w:val="natalie.albrecht@einzelhandel.de"/>
              <w:listEntry w:val="nora.rabah@wohnenundbuero.de"/>
              <w:listEntry w:val="cathrin.klitzsch@wohnenundbuero.de"/>
              <w:listEntry w:val="rosemarie.juettemann@einzelhandel.de"/>
              <w:listEntry w:val="kathrin.schnabel@einzelhandel.de"/>
              <w:listEntry w:val="imke.ide@einzelhandel.de"/>
              <w:listEntry w:val="thomas.schnabel@einzelhandel.de"/>
              <w:listEntry w:val=" "/>
            </w:ddList>
          </w:ffData>
        </w:fldChar>
      </w:r>
      <w:r w:rsidR="00322AD4" w:rsidRPr="00344B10">
        <w:rPr>
          <w:vanish/>
          <w:sz w:val="14"/>
          <w:szCs w:val="14"/>
        </w:rPr>
        <w:instrText xml:space="preserve"> FORMDROPDOWN </w:instrText>
      </w:r>
      <w:r w:rsidR="000042C3">
        <w:rPr>
          <w:vanish/>
          <w:sz w:val="14"/>
          <w:szCs w:val="14"/>
        </w:rPr>
      </w:r>
      <w:r w:rsidR="000042C3">
        <w:rPr>
          <w:vanish/>
          <w:sz w:val="14"/>
          <w:szCs w:val="14"/>
        </w:rPr>
        <w:fldChar w:fldCharType="separate"/>
      </w:r>
      <w:r w:rsidRPr="00344B10">
        <w:rPr>
          <w:vanish/>
          <w:sz w:val="14"/>
          <w:szCs w:val="14"/>
        </w:rPr>
        <w:fldChar w:fldCharType="end"/>
      </w:r>
      <w:bookmarkStart w:id="8" w:name="Personmail2"/>
      <w:r w:rsidR="00322AD4" w:rsidRPr="00344B10">
        <w:rPr>
          <w:sz w:val="14"/>
          <w:szCs w:val="14"/>
        </w:rPr>
        <w:t>thomas.grothkopp@</w:t>
      </w:r>
      <w:r w:rsidR="00322AD4" w:rsidRPr="00344B10">
        <w:rPr>
          <w:sz w:val="14"/>
          <w:szCs w:val="14"/>
        </w:rPr>
        <w:br/>
        <w:t>einzelhandel.de</w:t>
      </w:r>
      <w:bookmarkEnd w:id="8"/>
    </w:p>
    <w:p w:rsidR="00344B10" w:rsidRDefault="00344B10" w:rsidP="00976969">
      <w:pPr>
        <w:spacing w:before="240"/>
        <w:rPr>
          <w:b/>
          <w:bCs/>
          <w:sz w:val="24"/>
        </w:rPr>
      </w:pPr>
      <w:r>
        <w:rPr>
          <w:b/>
          <w:bCs/>
          <w:sz w:val="24"/>
        </w:rPr>
        <w:t>Mehrkosten durch Multichannel und zu hohe Mieten drücken auf die Rentabilität des Handels</w:t>
      </w:r>
    </w:p>
    <w:p w:rsidR="00D53D24" w:rsidRDefault="00D53D24" w:rsidP="00CC5733">
      <w:pPr>
        <w:spacing w:before="120" w:line="360" w:lineRule="auto"/>
        <w:jc w:val="both"/>
        <w:rPr>
          <w:sz w:val="22"/>
        </w:rPr>
      </w:pPr>
    </w:p>
    <w:p w:rsidR="00976969" w:rsidRDefault="000C6584" w:rsidP="00CC5733">
      <w:pPr>
        <w:spacing w:before="120" w:line="360" w:lineRule="auto"/>
        <w:jc w:val="both"/>
        <w:rPr>
          <w:sz w:val="22"/>
        </w:rPr>
      </w:pPr>
      <w:r>
        <w:rPr>
          <w:sz w:val="22"/>
        </w:rPr>
        <w:t>Frankfurt/Main</w:t>
      </w:r>
      <w:r w:rsidR="0047235D" w:rsidRPr="0029583D">
        <w:rPr>
          <w:sz w:val="22"/>
        </w:rPr>
        <w:t xml:space="preserve">, </w:t>
      </w:r>
      <w:r w:rsidR="00B45633">
        <w:rPr>
          <w:sz w:val="22"/>
        </w:rPr>
        <w:t>10.0</w:t>
      </w:r>
      <w:r w:rsidR="004D0CC6">
        <w:rPr>
          <w:sz w:val="22"/>
        </w:rPr>
        <w:t>2</w:t>
      </w:r>
      <w:r w:rsidR="00B45633">
        <w:rPr>
          <w:sz w:val="22"/>
        </w:rPr>
        <w:t>.2017</w:t>
      </w:r>
      <w:r w:rsidR="0047235D" w:rsidRPr="0029583D">
        <w:rPr>
          <w:sz w:val="22"/>
        </w:rPr>
        <w:t xml:space="preserve"> </w:t>
      </w:r>
    </w:p>
    <w:p w:rsidR="000C6584" w:rsidRPr="000C6584" w:rsidRDefault="000C6584" w:rsidP="004D0CC6">
      <w:pPr>
        <w:spacing w:before="120" w:line="360" w:lineRule="auto"/>
        <w:jc w:val="both"/>
        <w:rPr>
          <w:b/>
          <w:sz w:val="22"/>
        </w:rPr>
      </w:pPr>
      <w:r>
        <w:rPr>
          <w:b/>
          <w:sz w:val="22"/>
        </w:rPr>
        <w:t xml:space="preserve">Der Umsatz mit Hausrat und Produkten der Tisch- und Küchenausstattung ist im Jahr 2016 um 0,6 </w:t>
      </w:r>
      <w:r w:rsidR="00344B10">
        <w:rPr>
          <w:b/>
          <w:sz w:val="22"/>
        </w:rPr>
        <w:t>Prozent</w:t>
      </w:r>
      <w:r>
        <w:rPr>
          <w:b/>
          <w:sz w:val="22"/>
        </w:rPr>
        <w:t xml:space="preserve"> auf 6,4 Milliarden Euro gestiegen. Elektrogeräte kamen auf 4,9 Milliarden Euro und liegen um 3,9 </w:t>
      </w:r>
      <w:r w:rsidR="00344B10">
        <w:rPr>
          <w:b/>
          <w:sz w:val="22"/>
        </w:rPr>
        <w:t>Prozent</w:t>
      </w:r>
      <w:r>
        <w:rPr>
          <w:b/>
          <w:sz w:val="22"/>
        </w:rPr>
        <w:t xml:space="preserve"> über </w:t>
      </w:r>
      <w:r w:rsidR="00456611">
        <w:rPr>
          <w:b/>
          <w:sz w:val="22"/>
        </w:rPr>
        <w:t>dem Vorjahresumsatz</w:t>
      </w:r>
      <w:r>
        <w:rPr>
          <w:b/>
          <w:sz w:val="22"/>
        </w:rPr>
        <w:t xml:space="preserve">. Die Branche ist mit diesem Ergebnis zufrieden und blickt </w:t>
      </w:r>
      <w:r w:rsidR="003B7B87">
        <w:rPr>
          <w:b/>
          <w:sz w:val="22"/>
        </w:rPr>
        <w:t xml:space="preserve">optimistisch </w:t>
      </w:r>
      <w:r>
        <w:rPr>
          <w:b/>
          <w:sz w:val="22"/>
        </w:rPr>
        <w:t xml:space="preserve">auf </w:t>
      </w:r>
      <w:r w:rsidR="003B7B87">
        <w:rPr>
          <w:b/>
          <w:sz w:val="22"/>
        </w:rPr>
        <w:t xml:space="preserve">das Jahr </w:t>
      </w:r>
      <w:r>
        <w:rPr>
          <w:b/>
          <w:sz w:val="22"/>
        </w:rPr>
        <w:t>2017.</w:t>
      </w:r>
    </w:p>
    <w:p w:rsidR="000C6584" w:rsidRPr="000C6584" w:rsidRDefault="000C6584" w:rsidP="004D0CC6">
      <w:pPr>
        <w:spacing w:before="120" w:line="360" w:lineRule="auto"/>
        <w:jc w:val="both"/>
        <w:rPr>
          <w:sz w:val="22"/>
        </w:rPr>
      </w:pPr>
      <w:r w:rsidRPr="000C6584">
        <w:rPr>
          <w:sz w:val="22"/>
        </w:rPr>
        <w:t xml:space="preserve">Im Segment GPK/Hausrat haben die Schneidwaren eine herausragende Entwicklung, denn der Umsatz hat um 20 </w:t>
      </w:r>
      <w:r w:rsidR="00344B10">
        <w:rPr>
          <w:sz w:val="22"/>
        </w:rPr>
        <w:t>Prozent</w:t>
      </w:r>
      <w:r w:rsidRPr="000C6584">
        <w:rPr>
          <w:sz w:val="22"/>
        </w:rPr>
        <w:t xml:space="preserve"> auf 276 Milli</w:t>
      </w:r>
      <w:r>
        <w:rPr>
          <w:sz w:val="22"/>
        </w:rPr>
        <w:t>onen Euro zugelegt, so das Institut für Handelsforschung (IFH)</w:t>
      </w:r>
      <w:r w:rsidR="003B7B87">
        <w:rPr>
          <w:sz w:val="22"/>
        </w:rPr>
        <w:t>, Köln</w:t>
      </w:r>
      <w:r>
        <w:rPr>
          <w:sz w:val="22"/>
        </w:rPr>
        <w:t>.</w:t>
      </w:r>
      <w:r w:rsidRPr="000C6584">
        <w:rPr>
          <w:sz w:val="22"/>
        </w:rPr>
        <w:t xml:space="preserve"> Bei Geschirr gab es ein Plus von 4,6 </w:t>
      </w:r>
      <w:r w:rsidR="00344B10">
        <w:rPr>
          <w:sz w:val="22"/>
        </w:rPr>
        <w:t>Prozent</w:t>
      </w:r>
      <w:r w:rsidRPr="000C6584">
        <w:rPr>
          <w:sz w:val="22"/>
        </w:rPr>
        <w:t xml:space="preserve"> auf </w:t>
      </w:r>
      <w:r w:rsidR="000042C3">
        <w:rPr>
          <w:sz w:val="22"/>
        </w:rPr>
        <w:t>779</w:t>
      </w:r>
      <w:r w:rsidRPr="000C6584">
        <w:rPr>
          <w:sz w:val="22"/>
        </w:rPr>
        <w:t xml:space="preserve"> Millionen Euro und bei Koch-, Brat- und Backgeschirr von 2,5 </w:t>
      </w:r>
      <w:r w:rsidR="00344B10">
        <w:rPr>
          <w:sz w:val="22"/>
        </w:rPr>
        <w:t>Prozent</w:t>
      </w:r>
      <w:r w:rsidRPr="000C6584">
        <w:rPr>
          <w:sz w:val="22"/>
        </w:rPr>
        <w:t xml:space="preserve"> auf 791 Millionen Euro. Schlechter schnitten Bestecke mit minus 9,8 </w:t>
      </w:r>
      <w:r w:rsidR="00456611">
        <w:rPr>
          <w:sz w:val="22"/>
        </w:rPr>
        <w:t>Prozent</w:t>
      </w:r>
      <w:r w:rsidRPr="000C6584">
        <w:rPr>
          <w:sz w:val="22"/>
        </w:rPr>
        <w:t xml:space="preserve"> auf 147 Millionen Euro und Tafelgeräte mit minus 4,8 </w:t>
      </w:r>
      <w:r w:rsidR="00344B10">
        <w:rPr>
          <w:sz w:val="22"/>
        </w:rPr>
        <w:t>Prozent</w:t>
      </w:r>
      <w:r w:rsidRPr="000C6584">
        <w:rPr>
          <w:sz w:val="22"/>
        </w:rPr>
        <w:t xml:space="preserve"> auf 199 Millionen Euro ab.</w:t>
      </w:r>
    </w:p>
    <w:p w:rsidR="000C6584" w:rsidRDefault="000C6584" w:rsidP="004D0CC6">
      <w:pPr>
        <w:spacing w:before="120" w:line="360" w:lineRule="auto"/>
        <w:jc w:val="both"/>
        <w:rPr>
          <w:sz w:val="22"/>
        </w:rPr>
      </w:pPr>
      <w:r w:rsidRPr="000C6584">
        <w:rPr>
          <w:sz w:val="22"/>
        </w:rPr>
        <w:t xml:space="preserve">Bei den Elektro-Kleingeräten </w:t>
      </w:r>
      <w:r>
        <w:rPr>
          <w:sz w:val="22"/>
        </w:rPr>
        <w:t>erzielten Küche</w:t>
      </w:r>
      <w:bookmarkStart w:id="9" w:name="_GoBack"/>
      <w:bookmarkEnd w:id="9"/>
      <w:r>
        <w:rPr>
          <w:sz w:val="22"/>
        </w:rPr>
        <w:t xml:space="preserve">nmaschinen mit einem Plus von 30,1 </w:t>
      </w:r>
      <w:r w:rsidR="00344B10">
        <w:rPr>
          <w:sz w:val="22"/>
        </w:rPr>
        <w:t>Prozent</w:t>
      </w:r>
      <w:r>
        <w:rPr>
          <w:sz w:val="22"/>
        </w:rPr>
        <w:t xml:space="preserve"> im Jahr 2016 einen Rekord und kommen auf einen Gesamtumsatz von 502 Millionen Euro, gefolgt von Fri</w:t>
      </w:r>
      <w:r w:rsidR="002771E8">
        <w:rPr>
          <w:sz w:val="22"/>
        </w:rPr>
        <w:t>t</w:t>
      </w:r>
      <w:r>
        <w:rPr>
          <w:sz w:val="22"/>
        </w:rPr>
        <w:t xml:space="preserve">teusen mit </w:t>
      </w:r>
      <w:r w:rsidR="004D69B2">
        <w:rPr>
          <w:sz w:val="22"/>
        </w:rPr>
        <w:t xml:space="preserve">einem Mehrumsatz von </w:t>
      </w:r>
      <w:r>
        <w:rPr>
          <w:sz w:val="22"/>
        </w:rPr>
        <w:t xml:space="preserve">14,6 </w:t>
      </w:r>
      <w:r w:rsidR="00344B10">
        <w:rPr>
          <w:sz w:val="22"/>
        </w:rPr>
        <w:t>Prozent</w:t>
      </w:r>
      <w:r w:rsidR="004D69B2">
        <w:rPr>
          <w:sz w:val="22"/>
        </w:rPr>
        <w:t xml:space="preserve">, was 47 Millionen Euro entspricht sowie Grillgeräten, die bei 72 Millionen Euro einen Umsatzzuwachs von 14,3 </w:t>
      </w:r>
      <w:r w:rsidR="00344B10">
        <w:rPr>
          <w:sz w:val="22"/>
        </w:rPr>
        <w:t>Prozent</w:t>
      </w:r>
      <w:r w:rsidR="004D69B2">
        <w:rPr>
          <w:sz w:val="22"/>
        </w:rPr>
        <w:t xml:space="preserve"> ausweisen.</w:t>
      </w:r>
      <w:r w:rsidR="00343692">
        <w:rPr>
          <w:sz w:val="22"/>
        </w:rPr>
        <w:t xml:space="preserve"> Der Boom der Kaffee- und Espressoautomaten schwächte erwartungsgemäß ab, das Nachfrageplus lag bei 3,4 </w:t>
      </w:r>
      <w:r w:rsidR="00344B10">
        <w:rPr>
          <w:sz w:val="22"/>
        </w:rPr>
        <w:t>Prozent</w:t>
      </w:r>
      <w:r w:rsidR="00343692">
        <w:rPr>
          <w:sz w:val="22"/>
        </w:rPr>
        <w:t>, der Umsatz macht nun 971 Millionen Euro aus.</w:t>
      </w:r>
    </w:p>
    <w:p w:rsidR="004D69B2" w:rsidRDefault="004D69B2" w:rsidP="004D0CC6">
      <w:pPr>
        <w:spacing w:before="120" w:line="360" w:lineRule="auto"/>
        <w:jc w:val="both"/>
        <w:rPr>
          <w:sz w:val="22"/>
        </w:rPr>
      </w:pPr>
      <w:r>
        <w:rPr>
          <w:sz w:val="22"/>
        </w:rPr>
        <w:t>„Diese Zahlen widerspiegeln die aktuellen Verbraucherpräferenzen, die wir in unseren Geschäften jeden Tag feststellen können, so Hermann Hutter, Vizepräsident der Handelsverbandes Koch- und Tischkultur (GPK) und Inhaber der Unternehmens Carl Abt, Ulm. „Unsere Kunden kochen aktiv, lassen sich von Küchenmaschinen verschiedenster Art und schönstem Design ebenso begeistern wie von den vielfältigen und qualitativ hochwertigen Messern.“</w:t>
      </w:r>
    </w:p>
    <w:p w:rsidR="004D69B2" w:rsidRDefault="004D69B2" w:rsidP="004D0CC6">
      <w:pPr>
        <w:spacing w:before="120" w:line="360" w:lineRule="auto"/>
        <w:jc w:val="both"/>
        <w:rPr>
          <w:sz w:val="22"/>
        </w:rPr>
      </w:pPr>
      <w:r>
        <w:rPr>
          <w:sz w:val="22"/>
        </w:rPr>
        <w:lastRenderedPageBreak/>
        <w:t xml:space="preserve">Der Hype </w:t>
      </w:r>
      <w:r w:rsidR="005409D8">
        <w:rPr>
          <w:sz w:val="22"/>
        </w:rPr>
        <w:t>um</w:t>
      </w:r>
      <w:r>
        <w:rPr>
          <w:sz w:val="22"/>
        </w:rPr>
        <w:t xml:space="preserve"> Kochshows im Fernsehen, von Koch- und Grillkursen im Fachhandel hält ungebrochen an. „Wir </w:t>
      </w:r>
      <w:r w:rsidR="003B7B87">
        <w:rPr>
          <w:sz w:val="22"/>
        </w:rPr>
        <w:t xml:space="preserve">wünschen </w:t>
      </w:r>
      <w:r>
        <w:rPr>
          <w:sz w:val="22"/>
        </w:rPr>
        <w:t xml:space="preserve">uns, </w:t>
      </w:r>
      <w:r w:rsidR="003B7B87">
        <w:rPr>
          <w:sz w:val="22"/>
        </w:rPr>
        <w:t xml:space="preserve">dass </w:t>
      </w:r>
      <w:r>
        <w:rPr>
          <w:sz w:val="22"/>
        </w:rPr>
        <w:t>eine vergleichbare Welle auch die Tischausstattung beflügeln würde“, so GPK-Vizepräsident Michael Berz, Siller &amp; Laar, Augsburg. „</w:t>
      </w:r>
      <w:r w:rsidR="000356FF">
        <w:rPr>
          <w:sz w:val="22"/>
        </w:rPr>
        <w:t xml:space="preserve">4,6 </w:t>
      </w:r>
      <w:r w:rsidR="00344B10">
        <w:rPr>
          <w:sz w:val="22"/>
        </w:rPr>
        <w:t>Prozent</w:t>
      </w:r>
      <w:r w:rsidR="000356FF">
        <w:rPr>
          <w:sz w:val="22"/>
        </w:rPr>
        <w:t xml:space="preserve"> Mehrnachfrage nach Porzellan und 1,9 </w:t>
      </w:r>
      <w:r w:rsidR="00344B10">
        <w:rPr>
          <w:sz w:val="22"/>
        </w:rPr>
        <w:t>Prozent</w:t>
      </w:r>
      <w:r w:rsidR="000356FF">
        <w:rPr>
          <w:sz w:val="22"/>
        </w:rPr>
        <w:t xml:space="preserve"> nach Trinkgläser</w:t>
      </w:r>
      <w:r w:rsidR="003B7B87">
        <w:rPr>
          <w:sz w:val="22"/>
        </w:rPr>
        <w:t>n</w:t>
      </w:r>
      <w:r w:rsidR="000356FF">
        <w:rPr>
          <w:sz w:val="22"/>
        </w:rPr>
        <w:t xml:space="preserve"> stimmen un</w:t>
      </w:r>
      <w:r w:rsidR="002771E8">
        <w:rPr>
          <w:sz w:val="22"/>
        </w:rPr>
        <w:t>s</w:t>
      </w:r>
      <w:r w:rsidR="000356FF">
        <w:rPr>
          <w:sz w:val="22"/>
        </w:rPr>
        <w:t xml:space="preserve"> optimistisch, dass die von uns geführten Produkte insbesondere bekannter Markenhersteller gut nachgefragt werden. </w:t>
      </w:r>
      <w:r w:rsidR="00456611">
        <w:rPr>
          <w:sz w:val="22"/>
        </w:rPr>
        <w:t>E</w:t>
      </w:r>
      <w:r w:rsidR="003B7B87">
        <w:rPr>
          <w:sz w:val="22"/>
        </w:rPr>
        <w:t>s</w:t>
      </w:r>
      <w:r w:rsidR="00456611">
        <w:rPr>
          <w:sz w:val="22"/>
        </w:rPr>
        <w:t xml:space="preserve"> zeichnet sich ein Trend zu höherwertigem Geschirr ab.“ </w:t>
      </w:r>
      <w:r w:rsidR="000356FF">
        <w:rPr>
          <w:sz w:val="22"/>
        </w:rPr>
        <w:t xml:space="preserve">Der Geschirrumsatz macht 779 Millionen Euro, der Glasumsatz 440 Millionen Euro und der Besteckumsatz, der um 9,8 </w:t>
      </w:r>
      <w:r w:rsidR="00344B10">
        <w:rPr>
          <w:sz w:val="22"/>
        </w:rPr>
        <w:t>Prozent</w:t>
      </w:r>
      <w:r w:rsidR="00343692">
        <w:rPr>
          <w:sz w:val="22"/>
        </w:rPr>
        <w:t xml:space="preserve"> zurück ging</w:t>
      </w:r>
      <w:r w:rsidR="000356FF">
        <w:rPr>
          <w:sz w:val="22"/>
        </w:rPr>
        <w:t>, 147 Millionen Euro aus.</w:t>
      </w:r>
    </w:p>
    <w:p w:rsidR="00D53D24" w:rsidRDefault="003B7B87" w:rsidP="003B7B87">
      <w:pPr>
        <w:spacing w:before="120" w:line="360" w:lineRule="auto"/>
        <w:jc w:val="both"/>
        <w:rPr>
          <w:sz w:val="22"/>
        </w:rPr>
      </w:pPr>
      <w:r>
        <w:rPr>
          <w:sz w:val="22"/>
        </w:rPr>
        <w:t xml:space="preserve">Ein wesentlicher Erfolgsfaktor für die Fachgeschäfte </w:t>
      </w:r>
      <w:r w:rsidRPr="003B7B87">
        <w:rPr>
          <w:sz w:val="22"/>
        </w:rPr>
        <w:t xml:space="preserve">ist </w:t>
      </w:r>
      <w:r>
        <w:rPr>
          <w:sz w:val="22"/>
        </w:rPr>
        <w:t>das</w:t>
      </w:r>
      <w:r w:rsidRPr="003B7B87">
        <w:rPr>
          <w:sz w:val="22"/>
        </w:rPr>
        <w:t xml:space="preserve"> Category Management</w:t>
      </w:r>
      <w:r w:rsidR="00D53D24">
        <w:rPr>
          <w:sz w:val="22"/>
        </w:rPr>
        <w:t>. Über 40 Standorte wurden in den vergangenen fünf Jahren nach CM-Grundsätzen umgestaltet und haben bis zu 20 Prozent Mehrumsatz erzielt. Allein im vergangenen Jahr waren es neun Geschäfte, die an dem vom GPK-Handelsverband initiierten und von EK/servicegroup durchgeführten Projekt teilnahmen. In diesem Jahr sind bereits fünf Unternehmen in Vorbereitung, davon das erste in Österreich, das auf der Branchentagung als Best Practice-Händler vorgestellt wird.</w:t>
      </w:r>
    </w:p>
    <w:p w:rsidR="00780DE1" w:rsidRDefault="00D53D24" w:rsidP="004D0CC6">
      <w:pPr>
        <w:spacing w:before="120" w:line="360" w:lineRule="auto"/>
        <w:jc w:val="both"/>
        <w:rPr>
          <w:sz w:val="22"/>
        </w:rPr>
      </w:pPr>
      <w:r>
        <w:rPr>
          <w:sz w:val="22"/>
        </w:rPr>
        <w:t xml:space="preserve">CM unterstützt Fachgeschäfte, die bei </w:t>
      </w:r>
      <w:r w:rsidR="00780DE1">
        <w:rPr>
          <w:sz w:val="22"/>
        </w:rPr>
        <w:t xml:space="preserve">den Vertriebswegen </w:t>
      </w:r>
      <w:r>
        <w:rPr>
          <w:sz w:val="22"/>
        </w:rPr>
        <w:t xml:space="preserve">der Branche mit 37 Prozent Marktanteil </w:t>
      </w:r>
      <w:r w:rsidR="00780DE1">
        <w:rPr>
          <w:sz w:val="22"/>
        </w:rPr>
        <w:t>dominieren</w:t>
      </w:r>
      <w:r w:rsidR="005409D8">
        <w:rPr>
          <w:sz w:val="22"/>
        </w:rPr>
        <w:t>,</w:t>
      </w:r>
      <w:r w:rsidR="00780DE1">
        <w:rPr>
          <w:sz w:val="22"/>
        </w:rPr>
        <w:t xml:space="preserve"> vor dem Möbelhandel mit 13 </w:t>
      </w:r>
      <w:r w:rsidR="00344B10">
        <w:rPr>
          <w:sz w:val="22"/>
        </w:rPr>
        <w:t>Prozent</w:t>
      </w:r>
      <w:r w:rsidR="00780DE1">
        <w:rPr>
          <w:sz w:val="22"/>
        </w:rPr>
        <w:t xml:space="preserve"> Umsatzanteil, den SB-Warenhäusern/Verbrauchermärkten und dem Distanzhandel mit jeweils 12 </w:t>
      </w:r>
      <w:r w:rsidR="00344B10">
        <w:rPr>
          <w:sz w:val="22"/>
        </w:rPr>
        <w:t>Prozent</w:t>
      </w:r>
      <w:r w:rsidR="00780DE1">
        <w:rPr>
          <w:sz w:val="22"/>
        </w:rPr>
        <w:t xml:space="preserve"> und den Kauf- und Warenhäusern mit 9 </w:t>
      </w:r>
      <w:r w:rsidR="00344B10">
        <w:rPr>
          <w:sz w:val="22"/>
        </w:rPr>
        <w:t>Prozent</w:t>
      </w:r>
      <w:r w:rsidR="00780DE1">
        <w:rPr>
          <w:sz w:val="22"/>
        </w:rPr>
        <w:t xml:space="preserve">. Auf den gleichen Anteil kommen Discounter und Lebensmittelhandel, hier und bei den SB-Warenhäusern insbesondere durch die hohen Umsätze der </w:t>
      </w:r>
      <w:r w:rsidR="00456611">
        <w:rPr>
          <w:sz w:val="22"/>
        </w:rPr>
        <w:t>Treuepunktaktionen</w:t>
      </w:r>
      <w:r w:rsidR="00780DE1">
        <w:rPr>
          <w:sz w:val="22"/>
        </w:rPr>
        <w:t>.</w:t>
      </w:r>
    </w:p>
    <w:p w:rsidR="000356FF" w:rsidRDefault="00780DE1" w:rsidP="004D0CC6">
      <w:pPr>
        <w:spacing w:before="120" w:line="360" w:lineRule="auto"/>
        <w:jc w:val="both"/>
        <w:rPr>
          <w:sz w:val="22"/>
        </w:rPr>
      </w:pPr>
      <w:r>
        <w:rPr>
          <w:sz w:val="22"/>
        </w:rPr>
        <w:t>Die Entwicklung der Vertriebswege ist dabei u</w:t>
      </w:r>
      <w:r w:rsidR="00343692">
        <w:rPr>
          <w:sz w:val="22"/>
        </w:rPr>
        <w:t xml:space="preserve">neinheitlich. Verlierer sind vertikale Handelsformen. </w:t>
      </w:r>
      <w:r w:rsidR="00456611">
        <w:rPr>
          <w:sz w:val="22"/>
        </w:rPr>
        <w:t xml:space="preserve">Das Unternehmen </w:t>
      </w:r>
      <w:r w:rsidR="00343692">
        <w:rPr>
          <w:sz w:val="22"/>
        </w:rPr>
        <w:t xml:space="preserve">Strauss Innovation, </w:t>
      </w:r>
      <w:r w:rsidR="00456611">
        <w:rPr>
          <w:sz w:val="22"/>
        </w:rPr>
        <w:t xml:space="preserve">bei dem </w:t>
      </w:r>
      <w:r w:rsidR="00343692">
        <w:rPr>
          <w:sz w:val="22"/>
        </w:rPr>
        <w:t xml:space="preserve">nach Bekleidung Wohnaccessoires und Dekoration das zweitwichtigste Sortiment darstellten, wird nach zweiter Insolvenz nun ganz liquidiert. Für Überraschung sorgte die Insolvenzanmeldung von Butlers Ende Januar, galt </w:t>
      </w:r>
      <w:r>
        <w:rPr>
          <w:sz w:val="22"/>
        </w:rPr>
        <w:t xml:space="preserve">das </w:t>
      </w:r>
      <w:r w:rsidR="002771E8">
        <w:rPr>
          <w:sz w:val="22"/>
        </w:rPr>
        <w:t>K</w:t>
      </w:r>
      <w:r>
        <w:rPr>
          <w:sz w:val="22"/>
        </w:rPr>
        <w:t>ölner Unternehmen</w:t>
      </w:r>
      <w:r w:rsidR="00343692">
        <w:rPr>
          <w:sz w:val="22"/>
        </w:rPr>
        <w:t xml:space="preserve"> bislang als Erfolgsstory eines Startups der Branche. Doch 94 Filialen in Deutschland, 14 überwiegend im Franchise geführte Standorte im europäischen Ausland sowie 13 Franchise-Flächen bei Rewe und weitere in Baumärkten konnten den Umsatz, der zuletzt auf 94 Millionen Euro sank, </w:t>
      </w:r>
      <w:r>
        <w:rPr>
          <w:sz w:val="22"/>
        </w:rPr>
        <w:t xml:space="preserve">nicht halten und </w:t>
      </w:r>
      <w:r w:rsidR="00343692">
        <w:rPr>
          <w:sz w:val="22"/>
        </w:rPr>
        <w:t xml:space="preserve">reichten für ein rentables Geschäftsmodell nicht aus. „Der kluge Rat von Handelsexperten, dass stationäre Händler </w:t>
      </w:r>
      <w:r w:rsidR="00456611">
        <w:rPr>
          <w:sz w:val="22"/>
        </w:rPr>
        <w:t xml:space="preserve">nur </w:t>
      </w:r>
      <w:r w:rsidR="00AB5DBF">
        <w:rPr>
          <w:sz w:val="22"/>
        </w:rPr>
        <w:t>durch einen</w:t>
      </w:r>
      <w:r w:rsidR="00343692">
        <w:rPr>
          <w:sz w:val="22"/>
        </w:rPr>
        <w:t xml:space="preserve"> zusätzliche</w:t>
      </w:r>
      <w:r w:rsidR="00AB5DBF">
        <w:rPr>
          <w:sz w:val="22"/>
        </w:rPr>
        <w:t>n</w:t>
      </w:r>
      <w:r w:rsidR="00343692">
        <w:rPr>
          <w:sz w:val="22"/>
        </w:rPr>
        <w:t xml:space="preserve"> Online-Shop zukunftsfähig </w:t>
      </w:r>
      <w:r w:rsidR="00AB5DBF">
        <w:rPr>
          <w:sz w:val="22"/>
        </w:rPr>
        <w:lastRenderedPageBreak/>
        <w:t>würden</w:t>
      </w:r>
      <w:r w:rsidR="00343692">
        <w:rPr>
          <w:sz w:val="22"/>
        </w:rPr>
        <w:t>,</w:t>
      </w:r>
      <w:r w:rsidR="00AB5DBF">
        <w:rPr>
          <w:sz w:val="22"/>
        </w:rPr>
        <w:t xml:space="preserve"> wird hier widerlegt</w:t>
      </w:r>
      <w:r>
        <w:rPr>
          <w:sz w:val="22"/>
        </w:rPr>
        <w:t>“</w:t>
      </w:r>
      <w:r w:rsidR="00AB5DBF">
        <w:rPr>
          <w:sz w:val="22"/>
        </w:rPr>
        <w:t>, so Thomas Grothkopp, Geschäftsführer des Handelsverbandes Koch- und Tischkultur: „Wenn sich der Umsatz lediglich durch weitere Vertriebswege halten</w:t>
      </w:r>
      <w:r>
        <w:rPr>
          <w:sz w:val="22"/>
        </w:rPr>
        <w:t xml:space="preserve"> lässt</w:t>
      </w:r>
      <w:r w:rsidR="00AB5DBF">
        <w:rPr>
          <w:sz w:val="22"/>
        </w:rPr>
        <w:t xml:space="preserve">, verteuern sich die Vertriebskosten ohne zusätzliche Deckungsbeiträge.“ </w:t>
      </w:r>
      <w:r>
        <w:rPr>
          <w:sz w:val="22"/>
        </w:rPr>
        <w:t>Butlers hatte zunächst Kleinmöbel online angeboten und diese später auf den teuren 1A-Flächen präsentiert, bevor auch das Stammsortiment über einen Webshop angeboten wurde.</w:t>
      </w:r>
    </w:p>
    <w:p w:rsidR="00780DE1" w:rsidRDefault="00AB5DBF" w:rsidP="004D0CC6">
      <w:pPr>
        <w:spacing w:before="120" w:line="360" w:lineRule="auto"/>
        <w:jc w:val="both"/>
        <w:rPr>
          <w:sz w:val="22"/>
        </w:rPr>
      </w:pPr>
      <w:r>
        <w:rPr>
          <w:sz w:val="22"/>
        </w:rPr>
        <w:t xml:space="preserve">Das Beispiel der Butlers-Filialen, die überwiegend in </w:t>
      </w:r>
      <w:r w:rsidR="00456611">
        <w:rPr>
          <w:sz w:val="22"/>
        </w:rPr>
        <w:t xml:space="preserve">extrem teuren </w:t>
      </w:r>
      <w:r>
        <w:rPr>
          <w:sz w:val="22"/>
        </w:rPr>
        <w:t xml:space="preserve">1 </w:t>
      </w:r>
      <w:r w:rsidR="00EF7D4B">
        <w:rPr>
          <w:sz w:val="22"/>
        </w:rPr>
        <w:t>A</w:t>
      </w:r>
      <w:r>
        <w:rPr>
          <w:sz w:val="22"/>
        </w:rPr>
        <w:t>-Lage</w:t>
      </w:r>
      <w:r w:rsidR="00456611">
        <w:rPr>
          <w:sz w:val="22"/>
        </w:rPr>
        <w:t>n</w:t>
      </w:r>
      <w:r>
        <w:rPr>
          <w:sz w:val="22"/>
        </w:rPr>
        <w:t xml:space="preserve"> positioniert waren und bei denen eine hohe Frequenz der Erfolgsgarant war</w:t>
      </w:r>
      <w:r w:rsidR="005409D8">
        <w:rPr>
          <w:sz w:val="22"/>
        </w:rPr>
        <w:t>,</w:t>
      </w:r>
      <w:r>
        <w:rPr>
          <w:sz w:val="22"/>
        </w:rPr>
        <w:t xml:space="preserve"> zeigt, wie ambivalent die Passantenfrequenz geworden ist. City-Lagen und Einkaufscenter kämpfen mit rückgehenden Kundenströmen und Umsätzen je Kunde, von denen viele ihre Einkäufe zwischen Fachgeschäften und Online-Shops splitten und so die Gesamtrentabilität belasten. Die Mieten müssen dringend den Frequenzen und Umsätzen angepasst, also massiv gesenkt werden, so </w:t>
      </w:r>
      <w:r w:rsidR="00D53D24">
        <w:rPr>
          <w:sz w:val="22"/>
        </w:rPr>
        <w:t xml:space="preserve">das Statement der Präsidentin des GPK-Handelsverbandes, Christina van Dorp. </w:t>
      </w:r>
      <w:r>
        <w:rPr>
          <w:sz w:val="22"/>
        </w:rPr>
        <w:t xml:space="preserve">Viele Fachgeschäfte können im Wettbewerb nur bestehen, </w:t>
      </w:r>
      <w:r w:rsidR="00D53D24">
        <w:rPr>
          <w:sz w:val="22"/>
        </w:rPr>
        <w:t xml:space="preserve">wenn </w:t>
      </w:r>
      <w:r>
        <w:rPr>
          <w:sz w:val="22"/>
        </w:rPr>
        <w:t>sie Eigentümer der Geschäftshäuser sind. Für die Geschäfte kämen die Kosten für den Online-Vertrieb</w:t>
      </w:r>
      <w:r w:rsidR="005409D8">
        <w:rPr>
          <w:sz w:val="22"/>
        </w:rPr>
        <w:t xml:space="preserve"> noch hinzu</w:t>
      </w:r>
      <w:r w:rsidR="00780DE1">
        <w:rPr>
          <w:sz w:val="22"/>
        </w:rPr>
        <w:t xml:space="preserve"> und sind insbesondere wegen de</w:t>
      </w:r>
      <w:r w:rsidR="002771E8">
        <w:rPr>
          <w:sz w:val="22"/>
        </w:rPr>
        <w:t>s</w:t>
      </w:r>
      <w:r w:rsidR="00780DE1">
        <w:rPr>
          <w:sz w:val="22"/>
        </w:rPr>
        <w:t xml:space="preserve"> harten Online-Wettbewerbs </w:t>
      </w:r>
      <w:r w:rsidR="00D53D24">
        <w:rPr>
          <w:sz w:val="22"/>
        </w:rPr>
        <w:t xml:space="preserve">wegen </w:t>
      </w:r>
      <w:r w:rsidR="00344B10">
        <w:rPr>
          <w:sz w:val="22"/>
        </w:rPr>
        <w:t>hohe</w:t>
      </w:r>
      <w:r w:rsidR="00D53D24">
        <w:rPr>
          <w:sz w:val="22"/>
        </w:rPr>
        <w:t>r</w:t>
      </w:r>
      <w:r w:rsidR="005409D8">
        <w:rPr>
          <w:sz w:val="22"/>
        </w:rPr>
        <w:t xml:space="preserve"> Rabatte</w:t>
      </w:r>
      <w:r w:rsidR="00344B10">
        <w:rPr>
          <w:sz w:val="22"/>
        </w:rPr>
        <w:t xml:space="preserve"> kaum zu decken.</w:t>
      </w:r>
    </w:p>
    <w:p w:rsidR="00456611" w:rsidRPr="00D53D24" w:rsidRDefault="00344B10" w:rsidP="0043314C">
      <w:pPr>
        <w:spacing w:before="120" w:line="360" w:lineRule="auto"/>
        <w:jc w:val="both"/>
        <w:rPr>
          <w:sz w:val="22"/>
        </w:rPr>
      </w:pPr>
      <w:r>
        <w:rPr>
          <w:sz w:val="22"/>
        </w:rPr>
        <w:t>Die Städte müssen unbedingt in ihre Handelsstandorte investieren</w:t>
      </w:r>
      <w:r w:rsidR="0043314C">
        <w:rPr>
          <w:sz w:val="22"/>
        </w:rPr>
        <w:t>,</w:t>
      </w:r>
      <w:r w:rsidR="002325EC" w:rsidRPr="002325EC">
        <w:rPr>
          <w:sz w:val="22"/>
        </w:rPr>
        <w:t xml:space="preserve"> </w:t>
      </w:r>
      <w:r w:rsidR="005409D8">
        <w:rPr>
          <w:sz w:val="22"/>
        </w:rPr>
        <w:t>an ihrer Qualitätsverbesserung</w:t>
      </w:r>
      <w:r w:rsidR="002325EC" w:rsidRPr="002325EC">
        <w:rPr>
          <w:sz w:val="22"/>
        </w:rPr>
        <w:t xml:space="preserve"> arbeiten und aktives Stadtmarketing - sprich Standortmarketing – auch in der Region betreiben, damit sich die Frequenzen in den Städten wieder spürbar erhöhen</w:t>
      </w:r>
      <w:r>
        <w:rPr>
          <w:sz w:val="22"/>
        </w:rPr>
        <w:t>, fordert Michael Berz. Eine hohe Aufenthaltsqualität, eine gute Erreichbarkeit und eine attraktive Mischung aus verschiedenen Branchen, aus Handel, Gastronomie und Entertainment sind die Voraussetzung dafür, dass qualitativ hochwertiger Handel eine stationäre Zukunft hat.</w:t>
      </w:r>
      <w:r w:rsidR="0043314C">
        <w:rPr>
          <w:sz w:val="22"/>
        </w:rPr>
        <w:t xml:space="preserve"> </w:t>
      </w:r>
    </w:p>
    <w:p w:rsidR="00344B10" w:rsidRDefault="00344B10" w:rsidP="004D0CC6">
      <w:pPr>
        <w:spacing w:before="120" w:line="360" w:lineRule="auto"/>
        <w:jc w:val="both"/>
        <w:rPr>
          <w:sz w:val="22"/>
        </w:rPr>
      </w:pPr>
      <w:r>
        <w:rPr>
          <w:sz w:val="22"/>
        </w:rPr>
        <w:t>Experimente wie in Mönchengladbach und Diepholz, wo sich eBay engagiert, die verlängerte Ladentheke, wie der Ein</w:t>
      </w:r>
      <w:r w:rsidR="005409D8">
        <w:rPr>
          <w:sz w:val="22"/>
        </w:rPr>
        <w:t>kaufsverband EK/servicegroup sie</w:t>
      </w:r>
      <w:r>
        <w:rPr>
          <w:sz w:val="22"/>
        </w:rPr>
        <w:t xml:space="preserve"> seinen Handelsmitgliedern anbietet und Click &amp; Collect-Tests zeigen, in welche Richtung Fachhandel sich entwickeln könnte. Wenn allerdings die EU jeden Händler, der in Deutschland seine Produkte auch online anbietet, künftig zwingen will, auch in den übrigen 27 EU-Staaten </w:t>
      </w:r>
      <w:r w:rsidR="00D53D24">
        <w:rPr>
          <w:sz w:val="22"/>
        </w:rPr>
        <w:t xml:space="preserve">online </w:t>
      </w:r>
      <w:r>
        <w:rPr>
          <w:sz w:val="22"/>
        </w:rPr>
        <w:t xml:space="preserve">anzubieten, werden damit die kleinen und mittleren Handelsunternehmen vom Online-Handel ausgeschlossen. Denn sie müssten ihre Produkte </w:t>
      </w:r>
      <w:r w:rsidR="00D517DC">
        <w:rPr>
          <w:sz w:val="22"/>
        </w:rPr>
        <w:t>in</w:t>
      </w:r>
      <w:r>
        <w:rPr>
          <w:sz w:val="22"/>
        </w:rPr>
        <w:t xml:space="preserve"> 24 Sprachen, nach 28 verschiedenen Kaufrechts- </w:t>
      </w:r>
      <w:r>
        <w:rPr>
          <w:sz w:val="22"/>
        </w:rPr>
        <w:lastRenderedPageBreak/>
        <w:t>und Umsatzsteuerregelungen</w:t>
      </w:r>
      <w:r w:rsidR="00D517DC">
        <w:rPr>
          <w:sz w:val="22"/>
        </w:rPr>
        <w:t xml:space="preserve"> und bei Elektrogeräten mit Anmeldungen in 28 Staaten</w:t>
      </w:r>
      <w:r>
        <w:rPr>
          <w:sz w:val="22"/>
        </w:rPr>
        <w:t xml:space="preserve"> </w:t>
      </w:r>
      <w:r w:rsidR="00D517DC">
        <w:rPr>
          <w:sz w:val="22"/>
        </w:rPr>
        <w:t xml:space="preserve">ausrichten, wofür die Experten des Handelsverbandes Deutschland mindestens 100.000 Euro pro Jahr </w:t>
      </w:r>
      <w:r w:rsidR="00D53D24">
        <w:rPr>
          <w:sz w:val="22"/>
        </w:rPr>
        <w:t xml:space="preserve">und Händler </w:t>
      </w:r>
      <w:r w:rsidR="00D517DC">
        <w:rPr>
          <w:sz w:val="22"/>
        </w:rPr>
        <w:t xml:space="preserve">veranschlagen. „Eine solche EU-Regelung, die das sogenannte Geoblocking verbietet, würde einseitig europäische und internationale Anbieter wie Amazon begünstigen“, so Thomas Grothkopp, der dies im Rahmen des HDE-Europaforums Politikern in Brüssel warnend </w:t>
      </w:r>
      <w:r w:rsidR="00D53D24">
        <w:rPr>
          <w:sz w:val="22"/>
        </w:rPr>
        <w:t xml:space="preserve">vorgetragen </w:t>
      </w:r>
      <w:r w:rsidR="00D517DC">
        <w:rPr>
          <w:sz w:val="22"/>
        </w:rPr>
        <w:t>hat.</w:t>
      </w:r>
    </w:p>
    <w:p w:rsidR="00780DE1" w:rsidRDefault="00D517DC" w:rsidP="004D0CC6">
      <w:pPr>
        <w:spacing w:before="120" w:line="360" w:lineRule="auto"/>
        <w:jc w:val="both"/>
        <w:rPr>
          <w:sz w:val="22"/>
        </w:rPr>
      </w:pPr>
      <w:r>
        <w:rPr>
          <w:sz w:val="22"/>
        </w:rPr>
        <w:t>D</w:t>
      </w:r>
      <w:r w:rsidR="00780DE1">
        <w:rPr>
          <w:sz w:val="22"/>
        </w:rPr>
        <w:t xml:space="preserve">ie </w:t>
      </w:r>
      <w:r w:rsidR="004D0CC6" w:rsidRPr="00780DE1">
        <w:rPr>
          <w:sz w:val="22"/>
        </w:rPr>
        <w:t xml:space="preserve">Branchentagung vom 29. bis 30. Mai 2017 in Leipzig </w:t>
      </w:r>
      <w:r>
        <w:rPr>
          <w:sz w:val="22"/>
        </w:rPr>
        <w:t xml:space="preserve">widmet sich </w:t>
      </w:r>
      <w:r w:rsidR="004D0CC6" w:rsidRPr="00780DE1">
        <w:rPr>
          <w:sz w:val="22"/>
        </w:rPr>
        <w:t>unter dem Titel</w:t>
      </w:r>
      <w:r w:rsidR="004D0CC6" w:rsidRPr="00780DE1">
        <w:rPr>
          <w:bCs/>
          <w:sz w:val="22"/>
        </w:rPr>
        <w:t xml:space="preserve"> „Die GPK-Branche - Neu gedacht“ </w:t>
      </w:r>
      <w:r>
        <w:rPr>
          <w:bCs/>
          <w:sz w:val="22"/>
        </w:rPr>
        <w:t>den genannten</w:t>
      </w:r>
      <w:r w:rsidR="00780DE1">
        <w:rPr>
          <w:bCs/>
          <w:sz w:val="22"/>
        </w:rPr>
        <w:t xml:space="preserve"> Herausforderungen. </w:t>
      </w:r>
      <w:r w:rsidR="004D0CC6" w:rsidRPr="00780DE1">
        <w:rPr>
          <w:bCs/>
          <w:sz w:val="22"/>
        </w:rPr>
        <w:t>Sie</w:t>
      </w:r>
      <w:r w:rsidR="004D0CC6" w:rsidRPr="00780DE1">
        <w:rPr>
          <w:sz w:val="22"/>
        </w:rPr>
        <w:t xml:space="preserve"> bietet mit einem politischen Teil, ein</w:t>
      </w:r>
      <w:r w:rsidR="00EB2053" w:rsidRPr="00780DE1">
        <w:rPr>
          <w:sz w:val="22"/>
        </w:rPr>
        <w:t>em</w:t>
      </w:r>
      <w:r w:rsidR="004D0CC6" w:rsidRPr="00780DE1">
        <w:rPr>
          <w:sz w:val="22"/>
        </w:rPr>
        <w:t xml:space="preserve"> Multichannel-Update, einem Vertriebswegeschwerpunkt, den Themen Best Practice </w:t>
      </w:r>
      <w:r w:rsidR="0043314C">
        <w:rPr>
          <w:sz w:val="22"/>
        </w:rPr>
        <w:t>sowie</w:t>
      </w:r>
      <w:r w:rsidR="0043314C" w:rsidRPr="00780DE1">
        <w:rPr>
          <w:sz w:val="22"/>
        </w:rPr>
        <w:t xml:space="preserve"> </w:t>
      </w:r>
      <w:r w:rsidR="004D0CC6" w:rsidRPr="00780DE1">
        <w:rPr>
          <w:sz w:val="22"/>
        </w:rPr>
        <w:t xml:space="preserve">Personal </w:t>
      </w:r>
      <w:r>
        <w:rPr>
          <w:sz w:val="22"/>
        </w:rPr>
        <w:t xml:space="preserve">und bietet </w:t>
      </w:r>
      <w:r w:rsidR="004D0CC6" w:rsidRPr="00780DE1">
        <w:rPr>
          <w:sz w:val="22"/>
        </w:rPr>
        <w:t>wieder ein anspruchsvolles Vortragsprogramm. Es wird ergänzt durch Workshops verschiedener Themen</w:t>
      </w:r>
      <w:r w:rsidR="00EB2053" w:rsidRPr="00780DE1">
        <w:rPr>
          <w:sz w:val="22"/>
        </w:rPr>
        <w:t>. E</w:t>
      </w:r>
      <w:r w:rsidR="004D0CC6" w:rsidRPr="00780DE1">
        <w:rPr>
          <w:sz w:val="22"/>
        </w:rPr>
        <w:t>ine Exkursion führt die Besucher zu interessanten Geschäften im Zentrum Leipzigs</w:t>
      </w:r>
      <w:r w:rsidR="00780DE1">
        <w:rPr>
          <w:sz w:val="22"/>
        </w:rPr>
        <w:t>, der laut IFH interessantesten Einkaufsstadt Deutschlands.</w:t>
      </w:r>
      <w:r>
        <w:rPr>
          <w:sz w:val="22"/>
        </w:rPr>
        <w:t xml:space="preserve"> Der Kommunikation und dem Erlebnis dienen zwei Abendveranstaltungen, ein touristisches Programm und ein Orgelkonzert in der Nikolaikirche mit Werken von Johann Sebastian Bach. Tagungsort ist die restaurierte Kongresshalle am Zoo, in dessen Kiwara-Lodge der Branchenabend stattfindet.</w:t>
      </w:r>
    </w:p>
    <w:p w:rsidR="0047235D" w:rsidRPr="0057081D" w:rsidRDefault="0047235D" w:rsidP="0047235D">
      <w:pPr>
        <w:spacing w:before="120"/>
        <w:jc w:val="both"/>
        <w:rPr>
          <w:szCs w:val="22"/>
        </w:rPr>
      </w:pPr>
      <w:r w:rsidRPr="0057081D">
        <w:rPr>
          <w:szCs w:val="22"/>
        </w:rPr>
        <w:t xml:space="preserve">Der </w:t>
      </w:r>
      <w:r w:rsidR="002E5D2D">
        <w:rPr>
          <w:szCs w:val="22"/>
        </w:rPr>
        <w:t xml:space="preserve">Handelsverband Koch- und Tischkultur (GPK) (ehemals </w:t>
      </w:r>
      <w:r w:rsidRPr="0057081D">
        <w:rPr>
          <w:szCs w:val="22"/>
        </w:rPr>
        <w:t xml:space="preserve">Bundesverband für den gedeckten Tisch, Hausrat und </w:t>
      </w:r>
      <w:r w:rsidRPr="0051273D">
        <w:rPr>
          <w:szCs w:val="22"/>
        </w:rPr>
        <w:t>Wohnkultur</w:t>
      </w:r>
      <w:r w:rsidR="002E5D2D">
        <w:rPr>
          <w:szCs w:val="22"/>
        </w:rPr>
        <w:t>)</w:t>
      </w:r>
      <w:r w:rsidRPr="0051273D">
        <w:rPr>
          <w:szCs w:val="22"/>
        </w:rPr>
        <w:t xml:space="preserve"> ist die berufspolitische und fachliche Interessenvertretung von über 4.000 Fachgeschäften mit Tisch-, Küchen- und Wohnaccessoires sowie Geschenkartikeln</w:t>
      </w:r>
      <w:r w:rsidR="004D503F" w:rsidRPr="004D503F">
        <w:rPr>
          <w:szCs w:val="22"/>
        </w:rPr>
        <w:t xml:space="preserve"> </w:t>
      </w:r>
      <w:r w:rsidR="004D503F">
        <w:rPr>
          <w:szCs w:val="22"/>
        </w:rPr>
        <w:t xml:space="preserve">und </w:t>
      </w:r>
      <w:r w:rsidR="004D503F" w:rsidRPr="0057081D">
        <w:rPr>
          <w:szCs w:val="22"/>
        </w:rPr>
        <w:t>ist dem Handelsverband D</w:t>
      </w:r>
      <w:r w:rsidR="004D503F">
        <w:rPr>
          <w:szCs w:val="22"/>
        </w:rPr>
        <w:t>eutschland (HDE) mit seinen Büros in Berlin und Brüssel angeschlossen</w:t>
      </w:r>
      <w:r w:rsidRPr="0051273D">
        <w:rPr>
          <w:szCs w:val="22"/>
        </w:rPr>
        <w:t xml:space="preserve">. </w:t>
      </w:r>
      <w:r>
        <w:rPr>
          <w:szCs w:val="22"/>
        </w:rPr>
        <w:t xml:space="preserve">Rund 20.000 Menschen sind in Voll- und Teilzeit </w:t>
      </w:r>
      <w:r w:rsidR="004D503F">
        <w:rPr>
          <w:szCs w:val="22"/>
        </w:rPr>
        <w:t xml:space="preserve">in der Branche </w:t>
      </w:r>
      <w:r>
        <w:rPr>
          <w:szCs w:val="22"/>
        </w:rPr>
        <w:t>beschäftigt</w:t>
      </w:r>
      <w:r w:rsidR="004D503F">
        <w:rPr>
          <w:szCs w:val="22"/>
        </w:rPr>
        <w:t>, deren U</w:t>
      </w:r>
      <w:r>
        <w:rPr>
          <w:szCs w:val="22"/>
        </w:rPr>
        <w:t xml:space="preserve">msatz </w:t>
      </w:r>
      <w:r w:rsidR="004D503F">
        <w:rPr>
          <w:szCs w:val="22"/>
        </w:rPr>
        <w:t xml:space="preserve">mit Produkten der Tisch- und Küchenausstattung </w:t>
      </w:r>
      <w:r w:rsidR="002E5D2D">
        <w:rPr>
          <w:szCs w:val="22"/>
        </w:rPr>
        <w:t>über</w:t>
      </w:r>
      <w:r>
        <w:rPr>
          <w:szCs w:val="22"/>
        </w:rPr>
        <w:t xml:space="preserve"> 6 Mrd. Euro</w:t>
      </w:r>
      <w:r w:rsidR="004D503F">
        <w:rPr>
          <w:szCs w:val="22"/>
        </w:rPr>
        <w:t xml:space="preserve"> beträgt.</w:t>
      </w:r>
    </w:p>
    <w:p w:rsidR="00E32BFC" w:rsidRPr="0047235D" w:rsidRDefault="00E32BFC">
      <w:pPr>
        <w:jc w:val="both"/>
        <w:rPr>
          <w:sz w:val="22"/>
        </w:rPr>
      </w:pPr>
    </w:p>
    <w:p w:rsidR="00E32BFC" w:rsidRPr="0047235D" w:rsidRDefault="00E32BFC">
      <w:pPr>
        <w:jc w:val="both"/>
        <w:rPr>
          <w:sz w:val="22"/>
        </w:rPr>
        <w:sectPr w:rsidR="00E32BFC" w:rsidRPr="0047235D" w:rsidSect="00900143">
          <w:headerReference w:type="default" r:id="rId11"/>
          <w:type w:val="continuous"/>
          <w:pgSz w:w="11906" w:h="16838" w:code="9"/>
          <w:pgMar w:top="1418" w:right="3266" w:bottom="1134" w:left="1304" w:header="709" w:footer="709" w:gutter="0"/>
          <w:paperSrc w:first="4" w:other="258"/>
          <w:cols w:space="708"/>
          <w:formProt w:val="0"/>
          <w:docGrid w:linePitch="360"/>
        </w:sectPr>
      </w:pPr>
    </w:p>
    <w:p w:rsidR="00E32BFC" w:rsidRDefault="00E32BFC" w:rsidP="00A244B6">
      <w:pPr>
        <w:jc w:val="both"/>
        <w:rPr>
          <w:sz w:val="22"/>
        </w:rPr>
      </w:pPr>
      <w:r>
        <w:rPr>
          <w:sz w:val="22"/>
        </w:rPr>
        <w:lastRenderedPageBreak/>
        <w:t xml:space="preserve"> </w:t>
      </w:r>
    </w:p>
    <w:sectPr w:rsidR="00E32BFC" w:rsidSect="00900143">
      <w:headerReference w:type="default" r:id="rId12"/>
      <w:type w:val="continuous"/>
      <w:pgSz w:w="11906" w:h="16838" w:code="9"/>
      <w:pgMar w:top="1418" w:right="3266" w:bottom="1134" w:left="1304" w:header="709" w:footer="709" w:gutter="0"/>
      <w:paperSrc w:first="4" w:other="2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24" w:rsidRDefault="00D53D24">
      <w:r>
        <w:separator/>
      </w:r>
    </w:p>
  </w:endnote>
  <w:endnote w:type="continuationSeparator" w:id="0">
    <w:p w:rsidR="00D53D24" w:rsidRDefault="00D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24" w:rsidRDefault="00D53D24">
      <w:r>
        <w:separator/>
      </w:r>
    </w:p>
  </w:footnote>
  <w:footnote w:type="continuationSeparator" w:id="0">
    <w:p w:rsidR="00D53D24" w:rsidRDefault="00D5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Default="002325EC" w:rsidP="005F3133">
    <w:pPr>
      <w:pStyle w:val="Kopfzeile"/>
      <w:framePr w:wrap="around" w:vAnchor="text" w:hAnchor="margin" w:xAlign="right" w:y="1"/>
      <w:rPr>
        <w:rStyle w:val="Seitenzahl"/>
      </w:rPr>
    </w:pPr>
    <w:r>
      <w:rPr>
        <w:rStyle w:val="Seitenzahl"/>
      </w:rPr>
      <w:fldChar w:fldCharType="begin"/>
    </w:r>
    <w:r w:rsidR="00D53D24">
      <w:rPr>
        <w:rStyle w:val="Seitenzahl"/>
      </w:rPr>
      <w:instrText xml:space="preserve">PAGE  </w:instrText>
    </w:r>
    <w:r>
      <w:rPr>
        <w:rStyle w:val="Seitenzahl"/>
      </w:rPr>
      <w:fldChar w:fldCharType="end"/>
    </w:r>
  </w:p>
  <w:p w:rsidR="00D53D24" w:rsidRDefault="00D53D24">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Default="002325EC" w:rsidP="008074A9">
    <w:pPr>
      <w:pStyle w:val="Kopfzeile"/>
      <w:framePr w:wrap="around" w:vAnchor="text" w:hAnchor="margin" w:xAlign="right" w:y="1"/>
      <w:rPr>
        <w:rStyle w:val="Seitenzahl"/>
      </w:rPr>
    </w:pPr>
    <w:r>
      <w:rPr>
        <w:rStyle w:val="Seitenzahl"/>
      </w:rPr>
      <w:fldChar w:fldCharType="begin"/>
    </w:r>
    <w:r w:rsidR="00D53D24">
      <w:rPr>
        <w:rStyle w:val="Seitenzahl"/>
      </w:rPr>
      <w:instrText xml:space="preserve">PAGE  </w:instrText>
    </w:r>
    <w:r>
      <w:rPr>
        <w:rStyle w:val="Seitenzahl"/>
      </w:rPr>
      <w:fldChar w:fldCharType="separate"/>
    </w:r>
    <w:r w:rsidR="00D53D24">
      <w:rPr>
        <w:rStyle w:val="Seitenzahl"/>
        <w:noProof/>
      </w:rPr>
      <w:t>1</w:t>
    </w:r>
    <w:r>
      <w:rPr>
        <w:rStyle w:val="Seitenzahl"/>
      </w:rPr>
      <w:fldChar w:fldCharType="end"/>
    </w:r>
  </w:p>
  <w:p w:rsidR="00D53D24" w:rsidRDefault="00D53D24">
    <w:pPr>
      <w:pStyle w:val="Kopfzeile"/>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Default="002325EC">
    <w:pPr>
      <w:pStyle w:val="Kopfzeile"/>
      <w:framePr w:wrap="around" w:vAnchor="text" w:hAnchor="margin" w:xAlign="right" w:y="1"/>
      <w:rPr>
        <w:rStyle w:val="Seitenzahl"/>
      </w:rPr>
    </w:pPr>
    <w:r>
      <w:rPr>
        <w:rStyle w:val="Seitenzahl"/>
      </w:rPr>
      <w:fldChar w:fldCharType="begin"/>
    </w:r>
    <w:r w:rsidR="00D53D24">
      <w:rPr>
        <w:rStyle w:val="Seitenzahl"/>
      </w:rPr>
      <w:instrText xml:space="preserve">PAGE  </w:instrText>
    </w:r>
    <w:r>
      <w:rPr>
        <w:rStyle w:val="Seitenzahl"/>
      </w:rPr>
      <w:fldChar w:fldCharType="separate"/>
    </w:r>
    <w:r w:rsidR="000042C3">
      <w:rPr>
        <w:rStyle w:val="Seitenzahl"/>
        <w:noProof/>
      </w:rPr>
      <w:t>1</w:t>
    </w:r>
    <w:r>
      <w:rPr>
        <w:rStyle w:val="Seitenzahl"/>
      </w:rPr>
      <w:fldChar w:fldCharType="end"/>
    </w:r>
  </w:p>
  <w:p w:rsidR="00D53D24" w:rsidRDefault="00D53D24">
    <w:pPr>
      <w:pStyle w:val="Kopfzeile"/>
      <w:tabs>
        <w:tab w:val="clear" w:pos="9072"/>
      </w:tabs>
      <w:ind w:right="36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Default="002325EC">
    <w:pPr>
      <w:pStyle w:val="Kopfzeile"/>
      <w:framePr w:wrap="around" w:vAnchor="text" w:hAnchor="margin" w:xAlign="right" w:y="1"/>
      <w:rPr>
        <w:rStyle w:val="Seitenzahl"/>
      </w:rPr>
    </w:pPr>
    <w:r>
      <w:rPr>
        <w:rStyle w:val="Seitenzahl"/>
      </w:rPr>
      <w:fldChar w:fldCharType="begin"/>
    </w:r>
    <w:r w:rsidR="00D53D24">
      <w:rPr>
        <w:rStyle w:val="Seitenzahl"/>
      </w:rPr>
      <w:instrText xml:space="preserve">PAGE  </w:instrText>
    </w:r>
    <w:r>
      <w:rPr>
        <w:rStyle w:val="Seitenzahl"/>
      </w:rPr>
      <w:fldChar w:fldCharType="separate"/>
    </w:r>
    <w:r w:rsidR="000042C3">
      <w:rPr>
        <w:rStyle w:val="Seitenzahl"/>
        <w:noProof/>
      </w:rPr>
      <w:t>2</w:t>
    </w:r>
    <w:r>
      <w:rPr>
        <w:rStyle w:val="Seitenzahl"/>
      </w:rPr>
      <w:fldChar w:fldCharType="end"/>
    </w:r>
  </w:p>
  <w:p w:rsidR="00D53D24" w:rsidRDefault="00D53D24">
    <w:pPr>
      <w:pStyle w:val="Kopfzeile"/>
      <w:ind w:right="36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Default="00D53D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2C60"/>
    <w:rsid w:val="000042C3"/>
    <w:rsid w:val="000356FF"/>
    <w:rsid w:val="00064C65"/>
    <w:rsid w:val="0006583C"/>
    <w:rsid w:val="000B3BB7"/>
    <w:rsid w:val="000C4E63"/>
    <w:rsid w:val="000C60AA"/>
    <w:rsid w:val="000C6584"/>
    <w:rsid w:val="000E5E6A"/>
    <w:rsid w:val="00102C20"/>
    <w:rsid w:val="00104541"/>
    <w:rsid w:val="001154C8"/>
    <w:rsid w:val="00137A51"/>
    <w:rsid w:val="00147BA0"/>
    <w:rsid w:val="00155A89"/>
    <w:rsid w:val="00165F95"/>
    <w:rsid w:val="001663FA"/>
    <w:rsid w:val="00180EA7"/>
    <w:rsid w:val="001A2BFD"/>
    <w:rsid w:val="001B562F"/>
    <w:rsid w:val="00224CB7"/>
    <w:rsid w:val="002325EC"/>
    <w:rsid w:val="00241C68"/>
    <w:rsid w:val="002652EF"/>
    <w:rsid w:val="002771E8"/>
    <w:rsid w:val="002D5506"/>
    <w:rsid w:val="002E1B54"/>
    <w:rsid w:val="002E5D2D"/>
    <w:rsid w:val="002F7E30"/>
    <w:rsid w:val="003209BF"/>
    <w:rsid w:val="00322AD4"/>
    <w:rsid w:val="003315C1"/>
    <w:rsid w:val="00343692"/>
    <w:rsid w:val="00344B10"/>
    <w:rsid w:val="00347EFD"/>
    <w:rsid w:val="003B28ED"/>
    <w:rsid w:val="003B7B87"/>
    <w:rsid w:val="003D3CB4"/>
    <w:rsid w:val="003F360D"/>
    <w:rsid w:val="00416EDE"/>
    <w:rsid w:val="0043314C"/>
    <w:rsid w:val="004461E0"/>
    <w:rsid w:val="00456611"/>
    <w:rsid w:val="00457609"/>
    <w:rsid w:val="0047235D"/>
    <w:rsid w:val="00483B88"/>
    <w:rsid w:val="00485C06"/>
    <w:rsid w:val="004D0CC6"/>
    <w:rsid w:val="004D503F"/>
    <w:rsid w:val="004D6469"/>
    <w:rsid w:val="004D69B2"/>
    <w:rsid w:val="004E733C"/>
    <w:rsid w:val="004F0C4F"/>
    <w:rsid w:val="00512C60"/>
    <w:rsid w:val="005409D8"/>
    <w:rsid w:val="00585707"/>
    <w:rsid w:val="005928D1"/>
    <w:rsid w:val="00593C4A"/>
    <w:rsid w:val="005B3062"/>
    <w:rsid w:val="005F3133"/>
    <w:rsid w:val="00610ED6"/>
    <w:rsid w:val="00622FC8"/>
    <w:rsid w:val="00640E28"/>
    <w:rsid w:val="0064646D"/>
    <w:rsid w:val="0065451D"/>
    <w:rsid w:val="00660A3A"/>
    <w:rsid w:val="00687221"/>
    <w:rsid w:val="006B5BFB"/>
    <w:rsid w:val="00715DB9"/>
    <w:rsid w:val="007220EF"/>
    <w:rsid w:val="00780DE1"/>
    <w:rsid w:val="007B49F1"/>
    <w:rsid w:val="007F0C52"/>
    <w:rsid w:val="007F206F"/>
    <w:rsid w:val="007F59FB"/>
    <w:rsid w:val="008030E1"/>
    <w:rsid w:val="008074A9"/>
    <w:rsid w:val="00885AEE"/>
    <w:rsid w:val="0089207D"/>
    <w:rsid w:val="008E4554"/>
    <w:rsid w:val="00900143"/>
    <w:rsid w:val="0092183A"/>
    <w:rsid w:val="00975D95"/>
    <w:rsid w:val="00976969"/>
    <w:rsid w:val="009C218F"/>
    <w:rsid w:val="009D01BE"/>
    <w:rsid w:val="009F1AEE"/>
    <w:rsid w:val="00A244B6"/>
    <w:rsid w:val="00A34F6C"/>
    <w:rsid w:val="00A37536"/>
    <w:rsid w:val="00A46BBF"/>
    <w:rsid w:val="00A4750A"/>
    <w:rsid w:val="00A605BD"/>
    <w:rsid w:val="00A77AA8"/>
    <w:rsid w:val="00A8035D"/>
    <w:rsid w:val="00A9173D"/>
    <w:rsid w:val="00AB5DBF"/>
    <w:rsid w:val="00AD7CD1"/>
    <w:rsid w:val="00AF03AC"/>
    <w:rsid w:val="00B0487C"/>
    <w:rsid w:val="00B45633"/>
    <w:rsid w:val="00B5036F"/>
    <w:rsid w:val="00B64574"/>
    <w:rsid w:val="00B7767B"/>
    <w:rsid w:val="00B8355D"/>
    <w:rsid w:val="00BA46CA"/>
    <w:rsid w:val="00BA7E56"/>
    <w:rsid w:val="00BC366F"/>
    <w:rsid w:val="00BC3C2B"/>
    <w:rsid w:val="00BD4797"/>
    <w:rsid w:val="00C508D8"/>
    <w:rsid w:val="00C9188E"/>
    <w:rsid w:val="00CC0DB4"/>
    <w:rsid w:val="00CC5733"/>
    <w:rsid w:val="00CC7ABB"/>
    <w:rsid w:val="00D4117E"/>
    <w:rsid w:val="00D4645E"/>
    <w:rsid w:val="00D517DC"/>
    <w:rsid w:val="00D53D24"/>
    <w:rsid w:val="00E214FD"/>
    <w:rsid w:val="00E22997"/>
    <w:rsid w:val="00E32BFC"/>
    <w:rsid w:val="00E611B3"/>
    <w:rsid w:val="00E96DE7"/>
    <w:rsid w:val="00EA4751"/>
    <w:rsid w:val="00EB2053"/>
    <w:rsid w:val="00EC7B16"/>
    <w:rsid w:val="00EE28BB"/>
    <w:rsid w:val="00EE3019"/>
    <w:rsid w:val="00EF7D4B"/>
    <w:rsid w:val="00F3696A"/>
    <w:rsid w:val="00F40473"/>
    <w:rsid w:val="00F51DE3"/>
    <w:rsid w:val="00F54B26"/>
    <w:rsid w:val="00F71546"/>
    <w:rsid w:val="00FC7CF8"/>
    <w:rsid w:val="00FD11B3"/>
    <w:rsid w:val="00FD6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A230D"/>
  <w15:docId w15:val="{7CF3FE03-0C04-4E6F-9F5B-16783037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997"/>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2997"/>
    <w:pPr>
      <w:tabs>
        <w:tab w:val="center" w:pos="4536"/>
        <w:tab w:val="right" w:pos="9072"/>
      </w:tabs>
    </w:pPr>
  </w:style>
  <w:style w:type="paragraph" w:styleId="Fuzeile">
    <w:name w:val="footer"/>
    <w:basedOn w:val="Standard"/>
    <w:rsid w:val="00E22997"/>
    <w:pPr>
      <w:tabs>
        <w:tab w:val="center" w:pos="4536"/>
        <w:tab w:val="right" w:pos="9072"/>
      </w:tabs>
    </w:pPr>
  </w:style>
  <w:style w:type="character" w:styleId="Seitenzahl">
    <w:name w:val="page number"/>
    <w:basedOn w:val="Absatz-Standardschriftart"/>
    <w:rsid w:val="00E22997"/>
  </w:style>
  <w:style w:type="character" w:styleId="Hyperlink">
    <w:name w:val="Hyperlink"/>
    <w:basedOn w:val="Absatz-Standardschriftart"/>
    <w:unhideWhenUsed/>
    <w:rsid w:val="004D0CC6"/>
    <w:rPr>
      <w:color w:val="0000FF" w:themeColor="hyperlink"/>
      <w:u w:val="single"/>
    </w:rPr>
  </w:style>
  <w:style w:type="character" w:styleId="Kommentarzeichen">
    <w:name w:val="annotation reference"/>
    <w:basedOn w:val="Absatz-Standardschriftart"/>
    <w:semiHidden/>
    <w:unhideWhenUsed/>
    <w:rsid w:val="002771E8"/>
    <w:rPr>
      <w:sz w:val="16"/>
      <w:szCs w:val="16"/>
    </w:rPr>
  </w:style>
  <w:style w:type="paragraph" w:styleId="Kommentartext">
    <w:name w:val="annotation text"/>
    <w:basedOn w:val="Standard"/>
    <w:link w:val="KommentartextZchn"/>
    <w:semiHidden/>
    <w:unhideWhenUsed/>
    <w:rsid w:val="002771E8"/>
  </w:style>
  <w:style w:type="character" w:customStyle="1" w:styleId="KommentartextZchn">
    <w:name w:val="Kommentartext Zchn"/>
    <w:basedOn w:val="Absatz-Standardschriftart"/>
    <w:link w:val="Kommentartext"/>
    <w:semiHidden/>
    <w:rsid w:val="002771E8"/>
    <w:rPr>
      <w:rFonts w:ascii="Arial" w:hAnsi="Arial" w:cs="Arial"/>
    </w:rPr>
  </w:style>
  <w:style w:type="paragraph" w:styleId="Kommentarthema">
    <w:name w:val="annotation subject"/>
    <w:basedOn w:val="Kommentartext"/>
    <w:next w:val="Kommentartext"/>
    <w:link w:val="KommentarthemaZchn"/>
    <w:semiHidden/>
    <w:unhideWhenUsed/>
    <w:rsid w:val="002771E8"/>
    <w:rPr>
      <w:b/>
      <w:bCs/>
    </w:rPr>
  </w:style>
  <w:style w:type="character" w:customStyle="1" w:styleId="KommentarthemaZchn">
    <w:name w:val="Kommentarthema Zchn"/>
    <w:basedOn w:val="KommentartextZchn"/>
    <w:link w:val="Kommentarthema"/>
    <w:semiHidden/>
    <w:rsid w:val="002771E8"/>
    <w:rPr>
      <w:rFonts w:ascii="Arial" w:hAnsi="Arial" w:cs="Arial"/>
      <w:b/>
      <w:bCs/>
    </w:rPr>
  </w:style>
  <w:style w:type="paragraph" w:styleId="Sprechblasentext">
    <w:name w:val="Balloon Text"/>
    <w:basedOn w:val="Standard"/>
    <w:link w:val="SprechblasentextZchn"/>
    <w:rsid w:val="002771E8"/>
    <w:rPr>
      <w:rFonts w:ascii="Tahoma" w:hAnsi="Tahoma" w:cs="Tahoma"/>
      <w:sz w:val="16"/>
      <w:szCs w:val="16"/>
    </w:rPr>
  </w:style>
  <w:style w:type="character" w:customStyle="1" w:styleId="SprechblasentextZchn">
    <w:name w:val="Sprechblasentext Zchn"/>
    <w:basedOn w:val="Absatz-Standardschriftart"/>
    <w:link w:val="Sprechblasentext"/>
    <w:rsid w:val="00277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68952">
      <w:bodyDiv w:val="1"/>
      <w:marLeft w:val="0"/>
      <w:marRight w:val="0"/>
      <w:marTop w:val="0"/>
      <w:marBottom w:val="0"/>
      <w:divBdr>
        <w:top w:val="none" w:sz="0" w:space="0" w:color="auto"/>
        <w:left w:val="none" w:sz="0" w:space="0" w:color="auto"/>
        <w:bottom w:val="none" w:sz="0" w:space="0" w:color="auto"/>
        <w:right w:val="none" w:sz="0" w:space="0" w:color="auto"/>
      </w:divBdr>
    </w:div>
    <w:div w:id="905074048">
      <w:bodyDiv w:val="1"/>
      <w:marLeft w:val="0"/>
      <w:marRight w:val="0"/>
      <w:marTop w:val="0"/>
      <w:marBottom w:val="0"/>
      <w:divBdr>
        <w:top w:val="none" w:sz="0" w:space="0" w:color="auto"/>
        <w:left w:val="none" w:sz="0" w:space="0" w:color="auto"/>
        <w:bottom w:val="none" w:sz="0" w:space="0" w:color="auto"/>
        <w:right w:val="none" w:sz="0" w:space="0" w:color="auto"/>
      </w:divBdr>
    </w:div>
    <w:div w:id="1616713316">
      <w:bodyDiv w:val="1"/>
      <w:marLeft w:val="0"/>
      <w:marRight w:val="0"/>
      <w:marTop w:val="0"/>
      <w:marBottom w:val="0"/>
      <w:divBdr>
        <w:top w:val="none" w:sz="0" w:space="0" w:color="auto"/>
        <w:left w:val="none" w:sz="0" w:space="0" w:color="auto"/>
        <w:bottom w:val="none" w:sz="0" w:space="0" w:color="auto"/>
        <w:right w:val="none" w:sz="0" w:space="0" w:color="auto"/>
      </w:divBdr>
    </w:div>
    <w:div w:id="1901135697">
      <w:bodyDiv w:val="1"/>
      <w:marLeft w:val="0"/>
      <w:marRight w:val="0"/>
      <w:marTop w:val="0"/>
      <w:marBottom w:val="0"/>
      <w:divBdr>
        <w:top w:val="none" w:sz="0" w:space="0" w:color="auto"/>
        <w:left w:val="none" w:sz="0" w:space="0" w:color="auto"/>
        <w:bottom w:val="none" w:sz="0" w:space="0" w:color="auto"/>
        <w:right w:val="none" w:sz="0" w:space="0" w:color="auto"/>
      </w:divBdr>
    </w:div>
    <w:div w:id="1920677030">
      <w:bodyDiv w:val="1"/>
      <w:marLeft w:val="0"/>
      <w:marRight w:val="0"/>
      <w:marTop w:val="0"/>
      <w:marBottom w:val="0"/>
      <w:divBdr>
        <w:top w:val="none" w:sz="0" w:space="0" w:color="auto"/>
        <w:left w:val="none" w:sz="0" w:space="0" w:color="auto"/>
        <w:bottom w:val="none" w:sz="0" w:space="0" w:color="auto"/>
        <w:right w:val="none" w:sz="0" w:space="0" w:color="auto"/>
      </w:divBdr>
    </w:div>
    <w:div w:id="1938096997">
      <w:bodyDiv w:val="1"/>
      <w:marLeft w:val="0"/>
      <w:marRight w:val="0"/>
      <w:marTop w:val="0"/>
      <w:marBottom w:val="0"/>
      <w:divBdr>
        <w:top w:val="none" w:sz="0" w:space="0" w:color="auto"/>
        <w:left w:val="none" w:sz="0" w:space="0" w:color="auto"/>
        <w:bottom w:val="none" w:sz="0" w:space="0" w:color="auto"/>
        <w:right w:val="none" w:sz="0" w:space="0" w:color="auto"/>
      </w:divBdr>
    </w:div>
    <w:div w:id="20589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361C-9683-4F0A-A932-FD3393BC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Verbandsname:</vt:lpstr>
    </vt:vector>
  </TitlesOfParts>
  <Company>MasterSoft</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Verbandsname:</dc:title>
  <dc:creator>cklitzsch</dc:creator>
  <cp:lastModifiedBy>Thomas Grothkopp</cp:lastModifiedBy>
  <cp:revision>7</cp:revision>
  <cp:lastPrinted>2016-11-14T15:26:00Z</cp:lastPrinted>
  <dcterms:created xsi:type="dcterms:W3CDTF">2017-02-08T08:24:00Z</dcterms:created>
  <dcterms:modified xsi:type="dcterms:W3CDTF">2017-06-19T11:03:00Z</dcterms:modified>
</cp:coreProperties>
</file>