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2"/>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3F1595">
        <w:rPr>
          <w:rFonts w:ascii="MiloOT-Medi" w:hAnsi="MiloOT-Medi" w:cstheme="minorHAnsi"/>
          <w:color w:val="00AB96"/>
          <w:sz w:val="16"/>
          <w:szCs w:val="16"/>
        </w:rPr>
      </w:r>
      <w:r w:rsidR="003F1595">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2"/>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3F1595">
        <w:rPr>
          <w:rFonts w:ascii="MiloOT-Medi" w:hAnsi="MiloOT-Medi"/>
          <w:color w:val="002F5D"/>
          <w:sz w:val="16"/>
          <w:szCs w:val="16"/>
        </w:rPr>
      </w:r>
      <w:r w:rsidR="003F1595">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3F1595">
        <w:rPr>
          <w:rFonts w:ascii="MiloOT-Light" w:hAnsi="MiloOT-Light"/>
          <w:color w:val="002F5D"/>
          <w:sz w:val="16"/>
          <w:szCs w:val="16"/>
        </w:rPr>
      </w:r>
      <w:r w:rsidR="003F1595">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3F1595">
        <w:rPr>
          <w:rFonts w:ascii="MiloOT-Light" w:hAnsi="MiloOT-Light"/>
          <w:color w:val="002F5D"/>
          <w:sz w:val="16"/>
          <w:szCs w:val="16"/>
        </w:rPr>
      </w:r>
      <w:r w:rsidR="003F1595">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884A2D">
        <w:rPr>
          <w:rFonts w:ascii="MiloOT-Light" w:hAnsi="MiloOT-Light"/>
          <w:color w:val="002F5D"/>
          <w:sz w:val="16"/>
          <w:szCs w:val="16"/>
        </w:rPr>
        <w:t>0221 -940 83-50</w:t>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2"/>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3F1595">
        <w:rPr>
          <w:rFonts w:ascii="MiloOT-Light" w:hAnsi="MiloOT-Light"/>
          <w:color w:val="002F5D"/>
          <w:sz w:val="16"/>
          <w:szCs w:val="16"/>
        </w:rPr>
      </w:r>
      <w:r w:rsidR="003F1595">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884A2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D3016A"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r:link="rId9">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E949B5" w:rsidRDefault="00DD75CD" w:rsidP="00DD75CD">
      <w:pPr>
        <w:rPr>
          <w:rFonts w:ascii="MiloOT-Medi" w:hAnsi="MiloOT-Medi"/>
          <w:noProof/>
          <w:sz w:val="40"/>
          <w:szCs w:val="40"/>
        </w:rPr>
      </w:pP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w:t>
      </w:r>
      <w:r w:rsidR="00965D3D">
        <w:rPr>
          <w:rFonts w:ascii="MiloOT-Medi" w:hAnsi="MiloOT-Medi"/>
          <w:b/>
          <w:noProof/>
          <w:sz w:val="40"/>
          <w:szCs w:val="40"/>
        </w:rPr>
        <w:t>-Handout</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0E2398" w:rsidP="00DD75CD">
      <w:pPr>
        <w:spacing w:after="120" w:line="280" w:lineRule="exact"/>
        <w:ind w:right="-29"/>
        <w:rPr>
          <w:sz w:val="21"/>
          <w:szCs w:val="21"/>
        </w:rPr>
      </w:pPr>
      <w:r>
        <w:rPr>
          <w:sz w:val="21"/>
          <w:szCs w:val="21"/>
        </w:rPr>
        <w:lastRenderedPageBreak/>
        <w:t>Frankfurt/Main</w:t>
      </w:r>
    </w:p>
    <w:p w:rsidR="00DD75CD" w:rsidRDefault="000E2398" w:rsidP="00DD75CD">
      <w:pPr>
        <w:spacing w:after="120" w:line="280" w:lineRule="exact"/>
        <w:ind w:right="-29"/>
        <w:rPr>
          <w:b/>
        </w:rPr>
      </w:pPr>
      <w:r>
        <w:rPr>
          <w:sz w:val="21"/>
          <w:szCs w:val="21"/>
        </w:rPr>
        <w:t>4. Februar 2023</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31518D" w:rsidP="00AF639B">
      <w:pPr>
        <w:spacing w:after="120" w:line="300" w:lineRule="exact"/>
        <w:ind w:right="-28"/>
        <w:jc w:val="both"/>
        <w:rPr>
          <w:b/>
          <w:sz w:val="24"/>
          <w:szCs w:val="21"/>
        </w:rPr>
      </w:pPr>
      <w:bookmarkStart w:id="4" w:name="Anschrift"/>
      <w:bookmarkEnd w:id="4"/>
      <w:r>
        <w:rPr>
          <w:b/>
          <w:sz w:val="24"/>
          <w:szCs w:val="21"/>
        </w:rPr>
        <w:lastRenderedPageBreak/>
        <w:t>P</w:t>
      </w:r>
      <w:r w:rsidRPr="0031518D">
        <w:rPr>
          <w:b/>
          <w:sz w:val="24"/>
          <w:szCs w:val="21"/>
        </w:rPr>
        <w:t>B</w:t>
      </w:r>
      <w:r>
        <w:rPr>
          <w:b/>
          <w:sz w:val="24"/>
          <w:szCs w:val="21"/>
        </w:rPr>
        <w:t>S-Branche trotzt der Krise</w:t>
      </w:r>
    </w:p>
    <w:p w:rsidR="00DD75CD" w:rsidRPr="00F71684" w:rsidRDefault="000E2398" w:rsidP="00AF639B">
      <w:pPr>
        <w:spacing w:after="240" w:line="300" w:lineRule="exact"/>
        <w:ind w:right="-28"/>
        <w:jc w:val="both"/>
        <w:rPr>
          <w:b/>
          <w:sz w:val="21"/>
          <w:szCs w:val="21"/>
        </w:rPr>
      </w:pPr>
      <w:r>
        <w:rPr>
          <w:b/>
          <w:sz w:val="21"/>
          <w:szCs w:val="21"/>
        </w:rPr>
        <w:t>Der Büro- und Schreibwarenbereich hat sich</w:t>
      </w:r>
      <w:r w:rsidR="0031518D" w:rsidRPr="0031518D">
        <w:rPr>
          <w:b/>
          <w:sz w:val="21"/>
          <w:szCs w:val="21"/>
        </w:rPr>
        <w:t xml:space="preserve"> 2022 als äußerst robust erwiesen</w:t>
      </w:r>
    </w:p>
    <w:p w:rsidR="0031518D" w:rsidRPr="0031518D" w:rsidRDefault="0031518D" w:rsidP="00AF639B">
      <w:pPr>
        <w:spacing w:before="120" w:line="360" w:lineRule="auto"/>
        <w:ind w:right="-28"/>
        <w:jc w:val="both"/>
        <w:rPr>
          <w:sz w:val="21"/>
          <w:szCs w:val="21"/>
        </w:rPr>
      </w:pPr>
      <w:r w:rsidRPr="0031518D">
        <w:rPr>
          <w:sz w:val="21"/>
          <w:szCs w:val="21"/>
        </w:rPr>
        <w:t>In Deutschland hat sich das Bruttoinl</w:t>
      </w:r>
      <w:r w:rsidR="00E14056">
        <w:rPr>
          <w:sz w:val="21"/>
          <w:szCs w:val="21"/>
        </w:rPr>
        <w:t>andsprodukt im Jahr 2022 um 1,9 </w:t>
      </w:r>
      <w:r w:rsidRPr="0031518D">
        <w:rPr>
          <w:sz w:val="21"/>
          <w:szCs w:val="21"/>
        </w:rPr>
        <w:t>Prozent erhöht. Die Wachstumsdynamik hat damit zwar abgenommen, gleichwohl hat sich die deutsche Wirtschaft trotz Ukrainekrieg und Energiekrise erstaunlich robust entwickelt. Gestörte Lieferketten führten im Jahr 2022 dazu, dass viele Unternehmen ihre Warenlager aufstocken mussten und in neue Lieferantenbeziehung</w:t>
      </w:r>
      <w:r w:rsidR="004201C4">
        <w:rPr>
          <w:sz w:val="21"/>
          <w:szCs w:val="21"/>
        </w:rPr>
        <w:t>en</w:t>
      </w:r>
      <w:r w:rsidRPr="0031518D">
        <w:rPr>
          <w:sz w:val="21"/>
          <w:szCs w:val="21"/>
        </w:rPr>
        <w:t xml:space="preserve"> investierten, um die Transportwege zu verkürzen oder um ihr Lieferantennetz zu verbreitern. Auch das zog einen Investitions- und Finanzierungsbedarf nach sich. Energie war im April 2022 mit Abstand der größte Preistreiber. So erhöhten sich die Kosten für Strom</w:t>
      </w:r>
      <w:r w:rsidR="000E2398">
        <w:rPr>
          <w:sz w:val="21"/>
          <w:szCs w:val="21"/>
        </w:rPr>
        <w:t>,</w:t>
      </w:r>
      <w:r w:rsidRPr="0031518D">
        <w:rPr>
          <w:sz w:val="21"/>
          <w:szCs w:val="21"/>
        </w:rPr>
        <w:t xml:space="preserve"> Gas und Heizöl gegenüber März 2021 um 35,3 Prozent. Einen höheren Anstieg im Vergleich zu einem Vorjahresmonat verzeichnete </w:t>
      </w:r>
      <w:r w:rsidR="000E2398">
        <w:rPr>
          <w:sz w:val="21"/>
          <w:szCs w:val="21"/>
        </w:rPr>
        <w:t xml:space="preserve">das </w:t>
      </w:r>
      <w:r w:rsidRPr="0031518D">
        <w:rPr>
          <w:sz w:val="21"/>
          <w:szCs w:val="21"/>
        </w:rPr>
        <w:t xml:space="preserve">Statistische Bundesamt </w:t>
      </w:r>
      <w:r w:rsidR="000E2398">
        <w:rPr>
          <w:sz w:val="21"/>
          <w:szCs w:val="21"/>
        </w:rPr>
        <w:t>zuletzt im Ölkrisenj</w:t>
      </w:r>
      <w:r w:rsidRPr="0031518D">
        <w:rPr>
          <w:sz w:val="21"/>
          <w:szCs w:val="21"/>
        </w:rPr>
        <w:t>ahr 1973. Lebensmittelpreise zogen um 8,5 Prozent an, Waren verzeichneten ein Plus von 12 Prozent, Dienstleistungen von 2,9 Prozent.</w:t>
      </w:r>
    </w:p>
    <w:p w:rsidR="0031518D" w:rsidRPr="0031518D" w:rsidRDefault="0031518D" w:rsidP="00AF639B">
      <w:pPr>
        <w:spacing w:before="120" w:line="360" w:lineRule="auto"/>
        <w:ind w:right="-28"/>
        <w:jc w:val="both"/>
        <w:rPr>
          <w:sz w:val="21"/>
          <w:szCs w:val="21"/>
        </w:rPr>
      </w:pPr>
      <w:r w:rsidRPr="0031518D">
        <w:rPr>
          <w:sz w:val="21"/>
          <w:szCs w:val="21"/>
        </w:rPr>
        <w:t>Eine große Herausforderung für die gesamtwirtschaf</w:t>
      </w:r>
      <w:r w:rsidR="00C039D8">
        <w:rPr>
          <w:sz w:val="21"/>
          <w:szCs w:val="21"/>
        </w:rPr>
        <w:t>tliche Entwicklung sieht der Handelsverband Büro und Schreibkultur</w:t>
      </w:r>
      <w:r w:rsidRPr="0031518D">
        <w:rPr>
          <w:sz w:val="21"/>
          <w:szCs w:val="21"/>
        </w:rPr>
        <w:t xml:space="preserve"> in der nach wie vor hohen Inflation. Die</w:t>
      </w:r>
      <w:r w:rsidR="00C039D8">
        <w:rPr>
          <w:sz w:val="21"/>
          <w:szCs w:val="21"/>
        </w:rPr>
        <w:t>se</w:t>
      </w:r>
      <w:r w:rsidRPr="0031518D">
        <w:rPr>
          <w:sz w:val="21"/>
          <w:szCs w:val="21"/>
        </w:rPr>
        <w:t xml:space="preserve"> dürfte sich trotz einer deutlich rückläufigen Tendenz in 2023 als hartnäckig erweisen. Sie wird die realen Konsummöglichkeiten begrenzen und weitere Zinssteigerungen erforderlich machen. Für das Jahr 2023 rechnet der HBS daher mit niedrigeren Wachstumsraten als im Vorjahr.</w:t>
      </w:r>
    </w:p>
    <w:p w:rsidR="0031518D" w:rsidRPr="0031518D" w:rsidRDefault="0031518D" w:rsidP="00AF639B">
      <w:pPr>
        <w:spacing w:before="120" w:line="360" w:lineRule="auto"/>
        <w:ind w:right="-28"/>
        <w:jc w:val="both"/>
        <w:rPr>
          <w:sz w:val="21"/>
          <w:szCs w:val="21"/>
        </w:rPr>
      </w:pPr>
      <w:r w:rsidRPr="0031518D">
        <w:rPr>
          <w:sz w:val="21"/>
          <w:szCs w:val="21"/>
        </w:rPr>
        <w:t xml:space="preserve">Die Fachhändler richten sich immer wieder neu auf die Bedürfnisse der Kunden aus. Verbraucher wollen umfassend beraten werden. Kaufen und Erleben sind die Schlagworte für 2023! Genau hier wird der stationäre Handel gegenüber </w:t>
      </w:r>
      <w:r w:rsidR="00E14056">
        <w:rPr>
          <w:sz w:val="21"/>
          <w:szCs w:val="21"/>
        </w:rPr>
        <w:t>E-Commerce</w:t>
      </w:r>
      <w:r w:rsidRPr="0031518D">
        <w:rPr>
          <w:sz w:val="21"/>
          <w:szCs w:val="21"/>
        </w:rPr>
        <w:t xml:space="preserve"> punkten können.</w:t>
      </w:r>
    </w:p>
    <w:p w:rsidR="0031518D" w:rsidRPr="0031518D" w:rsidRDefault="0031518D" w:rsidP="00AF639B">
      <w:pPr>
        <w:spacing w:before="120" w:line="360" w:lineRule="auto"/>
        <w:ind w:right="-28"/>
        <w:jc w:val="both"/>
        <w:rPr>
          <w:sz w:val="21"/>
          <w:szCs w:val="21"/>
        </w:rPr>
      </w:pPr>
      <w:r w:rsidRPr="0031518D">
        <w:rPr>
          <w:sz w:val="21"/>
          <w:szCs w:val="21"/>
        </w:rPr>
        <w:t xml:space="preserve">Nachhaltigkeit bleibt weiterhin ein Kernthema mit enormer Reichweite und Bedeutung. Immer mehr Menschen werden achtsamer und kritischer beim Einkauf, sind meist gut informiert und fragen nach Herkunft, </w:t>
      </w:r>
      <w:r w:rsidRPr="0031518D">
        <w:rPr>
          <w:sz w:val="21"/>
          <w:szCs w:val="21"/>
        </w:rPr>
        <w:lastRenderedPageBreak/>
        <w:t>Herstellungsbedingungen sowie Materialien und Hintergründe der angebotenen Produkte.</w:t>
      </w:r>
    </w:p>
    <w:p w:rsidR="0031518D" w:rsidRPr="0031518D" w:rsidRDefault="0031518D" w:rsidP="00AF639B">
      <w:pPr>
        <w:spacing w:before="120" w:line="360" w:lineRule="auto"/>
        <w:ind w:right="-28"/>
        <w:jc w:val="both"/>
        <w:rPr>
          <w:sz w:val="21"/>
          <w:szCs w:val="21"/>
        </w:rPr>
      </w:pPr>
      <w:r w:rsidRPr="0031518D">
        <w:rPr>
          <w:sz w:val="21"/>
          <w:szCs w:val="21"/>
        </w:rPr>
        <w:t>Neue Wohn- und Ar</w:t>
      </w:r>
      <w:r w:rsidR="000E2398">
        <w:rPr>
          <w:sz w:val="21"/>
          <w:szCs w:val="21"/>
        </w:rPr>
        <w:t>beitskonzepte</w:t>
      </w:r>
      <w:r w:rsidRPr="0031518D">
        <w:rPr>
          <w:sz w:val="21"/>
          <w:szCs w:val="21"/>
        </w:rPr>
        <w:t xml:space="preserve"> sind in der Bürowelt weiterhin gefragt.</w:t>
      </w:r>
      <w:r w:rsidR="00E14056">
        <w:rPr>
          <w:sz w:val="21"/>
          <w:szCs w:val="21"/>
        </w:rPr>
        <w:t xml:space="preserve"> Die Bürowelt von Morgen vereint</w:t>
      </w:r>
      <w:r w:rsidRPr="0031518D">
        <w:rPr>
          <w:sz w:val="21"/>
          <w:szCs w:val="21"/>
        </w:rPr>
        <w:t xml:space="preserve"> einmal mehr den Wunsch nach Mobilität, Flexibilität und Kommunikation. Der Austausch im Koll</w:t>
      </w:r>
      <w:r w:rsidR="00C039D8">
        <w:rPr>
          <w:sz w:val="21"/>
          <w:szCs w:val="21"/>
        </w:rPr>
        <w:t>egen- und Mitarbeiterkreis und</w:t>
      </w:r>
      <w:r w:rsidRPr="0031518D">
        <w:rPr>
          <w:sz w:val="21"/>
          <w:szCs w:val="21"/>
        </w:rPr>
        <w:t xml:space="preserve"> die sozialen Kontakte bleiben gleichf</w:t>
      </w:r>
      <w:r w:rsidR="00C039D8">
        <w:rPr>
          <w:sz w:val="21"/>
          <w:szCs w:val="21"/>
        </w:rPr>
        <w:t>alls Bestandteil der Berufswelt so</w:t>
      </w:r>
      <w:r w:rsidRPr="0031518D">
        <w:rPr>
          <w:sz w:val="21"/>
          <w:szCs w:val="21"/>
        </w:rPr>
        <w:t>wie die durch die Krise neu</w:t>
      </w:r>
      <w:r w:rsidR="00C039D8">
        <w:rPr>
          <w:sz w:val="21"/>
          <w:szCs w:val="21"/>
        </w:rPr>
        <w:t>gewonnene Flexibilität. So wird</w:t>
      </w:r>
      <w:r w:rsidRPr="0031518D">
        <w:rPr>
          <w:sz w:val="21"/>
          <w:szCs w:val="21"/>
        </w:rPr>
        <w:t xml:space="preserve"> ein Teil des konzentrierten Arbeitslebens von zu Hause oder mobil erledigt, während die restliche Arbeitszeit für Besprechungen und Kreativ</w:t>
      </w:r>
      <w:r w:rsidR="00C039D8">
        <w:rPr>
          <w:sz w:val="21"/>
          <w:szCs w:val="21"/>
        </w:rPr>
        <w:t>meetings im Büro verbracht wird</w:t>
      </w:r>
      <w:r w:rsidRPr="0031518D">
        <w:rPr>
          <w:sz w:val="21"/>
          <w:szCs w:val="21"/>
        </w:rPr>
        <w:t>.</w:t>
      </w:r>
    </w:p>
    <w:p w:rsidR="00F71684" w:rsidRDefault="00C039D8" w:rsidP="00AF639B">
      <w:pPr>
        <w:spacing w:before="120" w:line="360" w:lineRule="auto"/>
        <w:ind w:right="-28"/>
        <w:jc w:val="both"/>
        <w:rPr>
          <w:sz w:val="21"/>
          <w:szCs w:val="21"/>
        </w:rPr>
      </w:pPr>
      <w:r>
        <w:rPr>
          <w:sz w:val="21"/>
          <w:szCs w:val="21"/>
        </w:rPr>
        <w:t>Durch d</w:t>
      </w:r>
      <w:r w:rsidR="0031518D" w:rsidRPr="0031518D">
        <w:rPr>
          <w:sz w:val="21"/>
          <w:szCs w:val="21"/>
        </w:rPr>
        <w:t xml:space="preserve">ie Zunahme von Homeoffice </w:t>
      </w:r>
      <w:r>
        <w:rPr>
          <w:sz w:val="21"/>
          <w:szCs w:val="21"/>
        </w:rPr>
        <w:t>und</w:t>
      </w:r>
      <w:r w:rsidR="0031518D" w:rsidRPr="0031518D">
        <w:rPr>
          <w:sz w:val="21"/>
          <w:szCs w:val="21"/>
        </w:rPr>
        <w:t xml:space="preserve"> dem neuen Verständnis für digitales Arbeiten kommen Büroartikeln und Büroeinrichtungen eine ganz neue Bedeutung zu. Dies spiegelt sich auch in den Zahlen wider:</w:t>
      </w:r>
    </w:p>
    <w:p w:rsidR="00E14056" w:rsidRDefault="00E14056" w:rsidP="00E14056"/>
    <w:p w:rsidR="00E14056" w:rsidRDefault="00E14056" w:rsidP="00E14056">
      <w:pPr>
        <w:rPr>
          <w:b/>
          <w:u w:val="single"/>
        </w:rPr>
      </w:pPr>
      <w:r>
        <w:rPr>
          <w:b/>
          <w:noProof/>
          <w:u w:val="single"/>
        </w:rPr>
        <w:drawing>
          <wp:anchor distT="0" distB="0" distL="114300" distR="114300" simplePos="0" relativeHeight="251660288" behindDoc="1" locked="0" layoutInCell="1" allowOverlap="1" wp14:anchorId="5415084D" wp14:editId="45EC48BD">
            <wp:simplePos x="0" y="0"/>
            <wp:positionH relativeFrom="margin">
              <wp:posOffset>2695575</wp:posOffset>
            </wp:positionH>
            <wp:positionV relativeFrom="page">
              <wp:posOffset>4809490</wp:posOffset>
            </wp:positionV>
            <wp:extent cx="3222625" cy="2419350"/>
            <wp:effectExtent l="0" t="0" r="0" b="0"/>
            <wp:wrapTight wrapText="bothSides">
              <wp:wrapPolygon edited="0">
                <wp:start x="0" y="0"/>
                <wp:lineTo x="0" y="21430"/>
                <wp:lineTo x="21451" y="21430"/>
                <wp:lineTo x="2145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2625" cy="2419350"/>
                    </a:xfrm>
                    <a:prstGeom prst="rect">
                      <a:avLst/>
                    </a:prstGeom>
                    <a:noFill/>
                  </pic:spPr>
                </pic:pic>
              </a:graphicData>
            </a:graphic>
            <wp14:sizeRelH relativeFrom="margin">
              <wp14:pctWidth>0</wp14:pctWidth>
            </wp14:sizeRelH>
            <wp14:sizeRelV relativeFrom="margin">
              <wp14:pctHeight>0</wp14:pctHeight>
            </wp14:sizeRelV>
          </wp:anchor>
        </w:drawing>
      </w:r>
      <w:r w:rsidR="00A0373B">
        <w:rPr>
          <w:noProof/>
        </w:rPr>
        <w:drawing>
          <wp:inline distT="0" distB="0" distL="0" distR="0" wp14:anchorId="7ABCDB83" wp14:editId="3A3E17C4">
            <wp:extent cx="2319454" cy="3044732"/>
            <wp:effectExtent l="0" t="0" r="508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5912" cy="3118843"/>
                    </a:xfrm>
                    <a:prstGeom prst="rect">
                      <a:avLst/>
                    </a:prstGeom>
                  </pic:spPr>
                </pic:pic>
              </a:graphicData>
            </a:graphic>
          </wp:inline>
        </w:drawing>
      </w:r>
    </w:p>
    <w:p w:rsidR="00E14056" w:rsidRDefault="000B7DF8" w:rsidP="00E14056">
      <w:pPr>
        <w:rPr>
          <w:b/>
          <w:u w:val="single"/>
        </w:rPr>
      </w:pPr>
      <w:r w:rsidRPr="00A0373B">
        <w:rPr>
          <w:noProof/>
          <w:u w:val="single"/>
        </w:rPr>
        <mc:AlternateContent>
          <mc:Choice Requires="wps">
            <w:drawing>
              <wp:anchor distT="45720" distB="45720" distL="114300" distR="114300" simplePos="0" relativeHeight="251662336" behindDoc="0" locked="0" layoutInCell="1" allowOverlap="1" wp14:anchorId="74C6521A" wp14:editId="7748B74A">
                <wp:simplePos x="0" y="0"/>
                <wp:positionH relativeFrom="column">
                  <wp:posOffset>4134671</wp:posOffset>
                </wp:positionH>
                <wp:positionV relativeFrom="paragraph">
                  <wp:posOffset>62230</wp:posOffset>
                </wp:positionV>
                <wp:extent cx="2074126" cy="1404620"/>
                <wp:effectExtent l="0" t="0" r="254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126" cy="1404620"/>
                        </a:xfrm>
                        <a:prstGeom prst="rect">
                          <a:avLst/>
                        </a:prstGeom>
                        <a:solidFill>
                          <a:srgbClr val="FFFFFF"/>
                        </a:solidFill>
                        <a:ln w="9525">
                          <a:noFill/>
                          <a:miter lim="800000"/>
                          <a:headEnd/>
                          <a:tailEnd/>
                        </a:ln>
                      </wps:spPr>
                      <wps:txbx>
                        <w:txbxContent>
                          <w:p w:rsidR="00A0373B" w:rsidRDefault="000B7DF8">
                            <w:r>
                              <w:t>Quelle: IFH-Zahlenübersicht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6521A" id="_x0000_t202" coordsize="21600,21600" o:spt="202" path="m,l,21600r21600,l21600,xe">
                <v:stroke joinstyle="miter"/>
                <v:path gradientshapeok="t" o:connecttype="rect"/>
              </v:shapetype>
              <v:shape id="Textfeld 2" o:spid="_x0000_s1026" type="#_x0000_t202" style="position:absolute;margin-left:325.55pt;margin-top:4.9pt;width:163.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" stroked="f">
                <v:textbox style="mso-fit-shape-to-text:t">
                  <w:txbxContent>
                    <w:p w:rsidR="00A0373B" w:rsidRDefault="000B7DF8">
                      <w:r>
                        <w:t>Quelle: IFH-Zahlenübersicht</w:t>
                      </w:r>
                    </w:p>
                  </w:txbxContent>
                </v:textbox>
              </v:shape>
            </w:pict>
          </mc:Fallback>
        </mc:AlternateContent>
      </w:r>
    </w:p>
    <w:p w:rsidR="00A0373B" w:rsidRPr="00A0373B" w:rsidRDefault="00A0373B" w:rsidP="000B7DF8">
      <w:pPr>
        <w:rPr>
          <w:u w:val="single"/>
        </w:rPr>
      </w:pPr>
    </w:p>
    <w:p w:rsidR="00A0373B" w:rsidRDefault="00A0373B" w:rsidP="00E14056">
      <w:pPr>
        <w:rPr>
          <w:b/>
          <w:u w:val="single"/>
        </w:rPr>
      </w:pPr>
    </w:p>
    <w:p w:rsidR="00E14056" w:rsidRDefault="00E14056" w:rsidP="00E14056">
      <w:pPr>
        <w:rPr>
          <w:b/>
          <w:u w:val="single"/>
        </w:rPr>
      </w:pPr>
    </w:p>
    <w:p w:rsidR="00E14056" w:rsidRPr="00966A5E" w:rsidRDefault="00E14056" w:rsidP="00E14056">
      <w:pPr>
        <w:rPr>
          <w:b/>
          <w:sz w:val="21"/>
          <w:szCs w:val="21"/>
          <w:u w:val="single"/>
        </w:rPr>
      </w:pPr>
      <w:r w:rsidRPr="00966A5E">
        <w:rPr>
          <w:b/>
          <w:sz w:val="21"/>
          <w:szCs w:val="21"/>
          <w:u w:val="single"/>
        </w:rPr>
        <w:t>Kernaussagen:</w:t>
      </w:r>
    </w:p>
    <w:p w:rsidR="00E14056" w:rsidRPr="00966A5E" w:rsidRDefault="00E14056" w:rsidP="004201C4">
      <w:pPr>
        <w:pStyle w:val="Listenabsatz"/>
        <w:numPr>
          <w:ilvl w:val="0"/>
          <w:numId w:val="2"/>
        </w:numPr>
        <w:spacing w:before="120" w:line="360" w:lineRule="auto"/>
        <w:ind w:right="-28"/>
        <w:jc w:val="both"/>
        <w:rPr>
          <w:rFonts w:ascii="Arial" w:hAnsi="Arial" w:cs="Arial"/>
          <w:b/>
          <w:sz w:val="21"/>
          <w:szCs w:val="21"/>
        </w:rPr>
      </w:pPr>
      <w:r w:rsidRPr="00966A5E">
        <w:rPr>
          <w:rFonts w:ascii="Arial" w:hAnsi="Arial" w:cs="Arial"/>
          <w:b/>
          <w:sz w:val="21"/>
          <w:szCs w:val="21"/>
        </w:rPr>
        <w:t xml:space="preserve">Die </w:t>
      </w:r>
      <w:proofErr w:type="spellStart"/>
      <w:r w:rsidRPr="00966A5E">
        <w:rPr>
          <w:rFonts w:ascii="Arial" w:hAnsi="Arial" w:cs="Arial"/>
          <w:b/>
          <w:sz w:val="21"/>
          <w:szCs w:val="21"/>
        </w:rPr>
        <w:t>Coronawelle</w:t>
      </w:r>
      <w:proofErr w:type="spellEnd"/>
      <w:r w:rsidRPr="00966A5E">
        <w:rPr>
          <w:rFonts w:ascii="Arial" w:hAnsi="Arial" w:cs="Arial"/>
          <w:b/>
          <w:sz w:val="21"/>
          <w:szCs w:val="21"/>
        </w:rPr>
        <w:t xml:space="preserve"> 2021/2022 endete im Frühjahr 2022. Die Verbraucher kehrten vermehrt in den stationären Fachhandel zurück, um sich dort beraten zu lassen und ihre Produkte einzukaufen und zu erleben.</w:t>
      </w:r>
    </w:p>
    <w:p w:rsidR="00E14056" w:rsidRPr="00966A5E" w:rsidRDefault="00E14056" w:rsidP="004201C4">
      <w:pPr>
        <w:pStyle w:val="Listenabsatz"/>
        <w:numPr>
          <w:ilvl w:val="0"/>
          <w:numId w:val="2"/>
        </w:numPr>
        <w:spacing w:before="120" w:line="360" w:lineRule="auto"/>
        <w:ind w:right="-28"/>
        <w:jc w:val="both"/>
        <w:rPr>
          <w:rFonts w:ascii="Arial" w:hAnsi="Arial" w:cs="Arial"/>
          <w:b/>
          <w:sz w:val="21"/>
          <w:szCs w:val="21"/>
        </w:rPr>
      </w:pPr>
      <w:r w:rsidRPr="00966A5E">
        <w:rPr>
          <w:rFonts w:ascii="Arial" w:hAnsi="Arial" w:cs="Arial"/>
          <w:b/>
          <w:sz w:val="21"/>
          <w:szCs w:val="21"/>
        </w:rPr>
        <w:t xml:space="preserve">Die Digitalisierung und besonders die </w:t>
      </w:r>
      <w:r w:rsidR="00C039D8">
        <w:rPr>
          <w:rFonts w:ascii="Arial" w:hAnsi="Arial" w:cs="Arial"/>
          <w:b/>
          <w:sz w:val="21"/>
          <w:szCs w:val="21"/>
        </w:rPr>
        <w:t>neue Art zu arbeiten (New Work)</w:t>
      </w:r>
      <w:r w:rsidRPr="00966A5E">
        <w:rPr>
          <w:rFonts w:ascii="Arial" w:hAnsi="Arial" w:cs="Arial"/>
          <w:b/>
          <w:sz w:val="21"/>
          <w:szCs w:val="21"/>
        </w:rPr>
        <w:t xml:space="preserve"> haben großes Potential. Trotz Digitalisierung</w:t>
      </w:r>
      <w:r w:rsidR="00C039D8">
        <w:rPr>
          <w:rFonts w:ascii="Arial" w:hAnsi="Arial" w:cs="Arial"/>
          <w:b/>
          <w:sz w:val="21"/>
          <w:szCs w:val="21"/>
        </w:rPr>
        <w:t xml:space="preserve"> bleiben</w:t>
      </w:r>
      <w:r w:rsidRPr="00966A5E">
        <w:rPr>
          <w:rFonts w:ascii="Arial" w:hAnsi="Arial" w:cs="Arial"/>
          <w:b/>
          <w:sz w:val="21"/>
          <w:szCs w:val="21"/>
        </w:rPr>
        <w:t xml:space="preserve"> klassische Arbeitsutensilien weiterhin wichtig.</w:t>
      </w:r>
    </w:p>
    <w:p w:rsidR="00E14056" w:rsidRPr="00966A5E" w:rsidRDefault="00E14056" w:rsidP="004201C4">
      <w:pPr>
        <w:pStyle w:val="Listenabsatz"/>
        <w:numPr>
          <w:ilvl w:val="0"/>
          <w:numId w:val="2"/>
        </w:numPr>
        <w:spacing w:before="120" w:line="360" w:lineRule="auto"/>
        <w:ind w:right="-28"/>
        <w:jc w:val="both"/>
        <w:rPr>
          <w:rFonts w:ascii="Arial" w:hAnsi="Arial" w:cs="Arial"/>
          <w:b/>
          <w:sz w:val="21"/>
          <w:szCs w:val="21"/>
        </w:rPr>
      </w:pPr>
      <w:r w:rsidRPr="00966A5E">
        <w:rPr>
          <w:rFonts w:ascii="Arial" w:hAnsi="Arial" w:cs="Arial"/>
          <w:b/>
          <w:sz w:val="21"/>
          <w:szCs w:val="21"/>
        </w:rPr>
        <w:lastRenderedPageBreak/>
        <w:t>Die Bedeutung nicht-digitaler Arbeitsg</w:t>
      </w:r>
      <w:r w:rsidR="00C039D8">
        <w:rPr>
          <w:rFonts w:ascii="Arial" w:hAnsi="Arial" w:cs="Arial"/>
          <w:b/>
          <w:sz w:val="21"/>
          <w:szCs w:val="21"/>
        </w:rPr>
        <w:t>eräte im Büro – also klassischer</w:t>
      </w:r>
      <w:r w:rsidRPr="00966A5E">
        <w:rPr>
          <w:rFonts w:ascii="Arial" w:hAnsi="Arial" w:cs="Arial"/>
          <w:b/>
          <w:sz w:val="21"/>
          <w:szCs w:val="21"/>
        </w:rPr>
        <w:t xml:space="preserve"> Bürobedarf und Schreibwaren – wird langfristig weiter abnehmen. Es wird jedoch eine neue Balance von digitalen und nicht-digitalen Arbeitsgeräten geben.</w:t>
      </w:r>
    </w:p>
    <w:p w:rsidR="00E14056" w:rsidRPr="00966A5E" w:rsidRDefault="00E14056" w:rsidP="004201C4">
      <w:pPr>
        <w:pStyle w:val="Listenabsatz"/>
        <w:numPr>
          <w:ilvl w:val="0"/>
          <w:numId w:val="2"/>
        </w:numPr>
        <w:spacing w:before="120" w:line="360" w:lineRule="auto"/>
        <w:ind w:right="-28"/>
        <w:jc w:val="both"/>
        <w:rPr>
          <w:rFonts w:ascii="Arial" w:hAnsi="Arial" w:cs="Arial"/>
          <w:b/>
          <w:sz w:val="21"/>
          <w:szCs w:val="21"/>
        </w:rPr>
      </w:pPr>
      <w:r w:rsidRPr="00966A5E">
        <w:rPr>
          <w:rFonts w:ascii="Arial" w:hAnsi="Arial" w:cs="Arial"/>
          <w:b/>
          <w:sz w:val="21"/>
          <w:szCs w:val="21"/>
        </w:rPr>
        <w:t>In puncto Marktvolumen haben vor allem Verbrauchsmaterial erhebliche Zuwächse verbuchen können. Mit einem Plus von ca. 25 Prozent ist Papier der große Gewinner. Schreibgeräte verzeichnen hingegen ein Plus von jeweils rund 10 Prozent</w:t>
      </w:r>
    </w:p>
    <w:p w:rsidR="00E14056" w:rsidRPr="00966A5E" w:rsidRDefault="00E14056" w:rsidP="004201C4">
      <w:pPr>
        <w:pStyle w:val="Listenabsatz"/>
        <w:numPr>
          <w:ilvl w:val="0"/>
          <w:numId w:val="2"/>
        </w:numPr>
        <w:spacing w:before="120" w:line="360" w:lineRule="auto"/>
        <w:ind w:right="-28"/>
        <w:jc w:val="both"/>
        <w:rPr>
          <w:rFonts w:ascii="Arial" w:hAnsi="Arial" w:cs="Arial"/>
          <w:b/>
          <w:sz w:val="21"/>
          <w:szCs w:val="21"/>
        </w:rPr>
      </w:pPr>
      <w:r w:rsidRPr="00966A5E">
        <w:rPr>
          <w:rFonts w:ascii="Arial" w:hAnsi="Arial" w:cs="Arial"/>
          <w:b/>
          <w:sz w:val="21"/>
          <w:szCs w:val="21"/>
        </w:rPr>
        <w:t>Trend: Nachhaltige Produkte und ein hoher Qualitätsanspruch erfreuen sich besonderer Beliebtheit.</w:t>
      </w:r>
    </w:p>
    <w:p w:rsidR="00E14056" w:rsidRDefault="00E14056" w:rsidP="004201C4">
      <w:pPr>
        <w:spacing w:before="120" w:line="360" w:lineRule="auto"/>
        <w:ind w:right="-28"/>
        <w:jc w:val="both"/>
        <w:rPr>
          <w:sz w:val="21"/>
          <w:szCs w:val="21"/>
        </w:rPr>
      </w:pPr>
    </w:p>
    <w:p w:rsidR="00F71684" w:rsidRPr="004201C4" w:rsidRDefault="00F71684" w:rsidP="004201C4">
      <w:pPr>
        <w:spacing w:before="120" w:line="240" w:lineRule="exact"/>
        <w:ind w:right="-28"/>
        <w:jc w:val="both"/>
        <w:rPr>
          <w:sz w:val="16"/>
          <w:szCs w:val="16"/>
        </w:rPr>
      </w:pPr>
      <w:r w:rsidRPr="004201C4">
        <w:rPr>
          <w:sz w:val="16"/>
          <w:szCs w:val="16"/>
        </w:rPr>
        <w:t>Fotos und weitere Downloads stehen auf d</w:t>
      </w:r>
      <w:r w:rsidR="00966A5E" w:rsidRPr="004201C4">
        <w:rPr>
          <w:sz w:val="16"/>
          <w:szCs w:val="16"/>
        </w:rPr>
        <w:t>er Website www.hwb.online</w:t>
      </w:r>
      <w:r w:rsidRPr="004201C4">
        <w:rPr>
          <w:sz w:val="16"/>
          <w:szCs w:val="16"/>
        </w:rPr>
        <w:t xml:space="preserve"> bereit.</w:t>
      </w:r>
    </w:p>
    <w:p w:rsidR="00F71684" w:rsidRPr="004201C4" w:rsidRDefault="00F71684" w:rsidP="004201C4">
      <w:pPr>
        <w:spacing w:before="120" w:line="240" w:lineRule="exact"/>
        <w:ind w:right="-28"/>
        <w:jc w:val="both"/>
        <w:rPr>
          <w:sz w:val="16"/>
          <w:szCs w:val="16"/>
        </w:rPr>
      </w:pPr>
      <w:r w:rsidRPr="004201C4">
        <w:rPr>
          <w:sz w:val="16"/>
          <w:szCs w:val="16"/>
        </w:rPr>
        <w:t>Der Handelsverband Büro</w:t>
      </w:r>
      <w:r w:rsidR="00CD670C" w:rsidRPr="004201C4">
        <w:rPr>
          <w:sz w:val="16"/>
          <w:szCs w:val="16"/>
        </w:rPr>
        <w:t xml:space="preserve"> </w:t>
      </w:r>
      <w:r w:rsidRPr="004201C4">
        <w:rPr>
          <w:sz w:val="16"/>
          <w:szCs w:val="16"/>
        </w:rPr>
        <w:t>und Schreib</w:t>
      </w:r>
      <w:r w:rsidR="00CD670C" w:rsidRPr="004201C4">
        <w:rPr>
          <w:sz w:val="16"/>
          <w:szCs w:val="16"/>
        </w:rPr>
        <w:t>kultur</w:t>
      </w:r>
      <w:r w:rsidRPr="004201C4">
        <w:rPr>
          <w:sz w:val="16"/>
          <w:szCs w:val="16"/>
        </w:rPr>
        <w:t xml:space="preserve"> (HBS) ist die berufspolitische und fachliche Interessenvertretung des bürowirtschaftlichen Fachhandels in Deutschland. Der Verband vertritt die Interessen von 2.200 Unternehmen. </w:t>
      </w:r>
    </w:p>
    <w:p w:rsidR="00F71684" w:rsidRPr="004201C4" w:rsidRDefault="00F71684" w:rsidP="004201C4">
      <w:pPr>
        <w:spacing w:before="120" w:line="240" w:lineRule="exact"/>
        <w:ind w:right="-28"/>
        <w:jc w:val="both"/>
        <w:rPr>
          <w:sz w:val="16"/>
          <w:szCs w:val="16"/>
        </w:rPr>
      </w:pPr>
      <w:r w:rsidRPr="004201C4">
        <w:rPr>
          <w:sz w:val="16"/>
          <w:szCs w:val="16"/>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p w:rsidR="00CD670C" w:rsidRPr="004201C4" w:rsidRDefault="00CD670C" w:rsidP="004201C4">
      <w:pPr>
        <w:spacing w:before="120" w:line="240" w:lineRule="exact"/>
        <w:ind w:right="-28"/>
        <w:jc w:val="both"/>
        <w:rPr>
          <w:sz w:val="16"/>
          <w:szCs w:val="16"/>
        </w:rPr>
      </w:pPr>
      <w:r w:rsidRPr="004201C4">
        <w:rPr>
          <w:sz w:val="16"/>
          <w:szCs w:val="16"/>
        </w:rPr>
        <w:t>Der Handelsverband Wohnen und Büro ist die Dachorganisation des Handelsverbandes Möbel und Küchen (BVDM), des Handelsverbandes Büro und Schreibkultur (HBS)</w:t>
      </w:r>
      <w:r w:rsidR="009E0978" w:rsidRPr="004201C4">
        <w:rPr>
          <w:sz w:val="16"/>
          <w:szCs w:val="16"/>
        </w:rPr>
        <w:t xml:space="preserve"> sowie</w:t>
      </w:r>
      <w:r w:rsidRPr="004201C4">
        <w:rPr>
          <w:sz w:val="16"/>
          <w:szCs w:val="16"/>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4201C4" w:rsidRDefault="00CD670C" w:rsidP="004201C4">
      <w:pPr>
        <w:spacing w:before="120" w:line="240" w:lineRule="exact"/>
        <w:ind w:right="-28"/>
        <w:jc w:val="both"/>
        <w:rPr>
          <w:sz w:val="16"/>
          <w:szCs w:val="16"/>
        </w:rPr>
      </w:pPr>
      <w:r w:rsidRPr="004201C4">
        <w:rPr>
          <w:sz w:val="16"/>
          <w:szCs w:val="16"/>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4201C4" w:rsidRDefault="00CD670C" w:rsidP="004201C4">
      <w:pPr>
        <w:spacing w:before="120" w:line="240" w:lineRule="exact"/>
        <w:ind w:right="-28"/>
        <w:jc w:val="both"/>
        <w:rPr>
          <w:sz w:val="16"/>
          <w:szCs w:val="16"/>
        </w:rPr>
      </w:pPr>
      <w:bookmarkStart w:id="5" w:name="_GoBack"/>
      <w:bookmarkEnd w:id="5"/>
    </w:p>
    <w:sectPr w:rsidR="00CD670C" w:rsidRPr="004201C4" w:rsidSect="00967899">
      <w:headerReference w:type="default" r:id="rId12"/>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6A" w:rsidRDefault="00D3016A">
      <w:r>
        <w:separator/>
      </w:r>
    </w:p>
  </w:endnote>
  <w:endnote w:type="continuationSeparator" w:id="0">
    <w:p w:rsidR="00D3016A" w:rsidRDefault="00D3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loOT-Medi">
    <w:altName w:val="Calibri"/>
    <w:panose1 w:val="020B0604030101020102"/>
    <w:charset w:val="00"/>
    <w:family w:val="swiss"/>
    <w:notTrueType/>
    <w:pitch w:val="variable"/>
    <w:sig w:usb0="800000EF" w:usb1="4000205B" w:usb2="00000000" w:usb3="00000000" w:csb0="00000001"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6A" w:rsidRDefault="00D3016A">
      <w:r>
        <w:separator/>
      </w:r>
    </w:p>
  </w:footnote>
  <w:footnote w:type="continuationSeparator" w:id="0">
    <w:p w:rsidR="00D3016A" w:rsidRDefault="00D30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3F1595">
          <w:rPr>
            <w:noProof/>
          </w:rPr>
          <w:t>2</w:t>
        </w:r>
        <w:r>
          <w:rPr>
            <w:noProof/>
          </w:rPr>
          <w:fldChar w:fldCharType="end"/>
        </w:r>
      </w:p>
    </w:sdtContent>
  </w:sdt>
  <w:p w:rsidR="001B2D9C" w:rsidRDefault="001B2D9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6B0"/>
    <w:multiLevelType w:val="hybridMultilevel"/>
    <w:tmpl w:val="3C2A6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E53917"/>
    <w:multiLevelType w:val="hybridMultilevel"/>
    <w:tmpl w:val="8CAE9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6A"/>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B7DF8"/>
    <w:rsid w:val="000C29B9"/>
    <w:rsid w:val="000D085B"/>
    <w:rsid w:val="000D1405"/>
    <w:rsid w:val="000D1BA4"/>
    <w:rsid w:val="000E2398"/>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1518D"/>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1595"/>
    <w:rsid w:val="003F2B6C"/>
    <w:rsid w:val="003F42A1"/>
    <w:rsid w:val="003F5AB2"/>
    <w:rsid w:val="004012B8"/>
    <w:rsid w:val="00402887"/>
    <w:rsid w:val="0040475B"/>
    <w:rsid w:val="004052EC"/>
    <w:rsid w:val="00415104"/>
    <w:rsid w:val="00415DFA"/>
    <w:rsid w:val="004168B6"/>
    <w:rsid w:val="004201C4"/>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4A2D"/>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5D3D"/>
    <w:rsid w:val="00966A5E"/>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0373B"/>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AF639B"/>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39D8"/>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016A"/>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56"/>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07CB21"/>
  <w15:docId w15:val="{9348B482-1883-4E5C-ACAF-9FED2076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paragraph" w:styleId="Listenabsatz">
    <w:name w:val="List Paragraph"/>
    <w:basedOn w:val="Standard"/>
    <w:uiPriority w:val="34"/>
    <w:qFormat/>
    <w:rsid w:val="00E1405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T:\VORLAGEN\HBS_ADJ.p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AFE1-907B-4296-A35D-60323A2C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3</Pages>
  <Words>673</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6</cp:revision>
  <cp:lastPrinted>2023-02-02T08:41:00Z</cp:lastPrinted>
  <dcterms:created xsi:type="dcterms:W3CDTF">2023-01-30T14:51:00Z</dcterms:created>
  <dcterms:modified xsi:type="dcterms:W3CDTF">2023-02-02T08:49:00Z</dcterms:modified>
  <cp:contentStatus/>
</cp:coreProperties>
</file>